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textAlignment w:val="baseline"/>
        <w:rPr>
          <w:rFonts w:ascii="宋体" w:hAnsi="宋体"/>
          <w:color w:val="auto"/>
          <w:sz w:val="40"/>
          <w:szCs w:val="40"/>
          <w:highlight w:val="none"/>
        </w:rPr>
      </w:pPr>
    </w:p>
    <w:p>
      <w:pPr>
        <w:pStyle w:val="2"/>
        <w:jc w:val="center"/>
        <w:rPr>
          <w:color w:val="FF0000"/>
          <w:highlight w:val="none"/>
        </w:rPr>
      </w:pPr>
      <w:r>
        <w:rPr>
          <w:rFonts w:hint="eastAsia" w:ascii="长城小标宋体" w:hAnsi="长城小标宋体" w:eastAsia="长城小标宋体" w:cs="长城小标宋体"/>
          <w:b/>
          <w:color w:val="FF0000"/>
          <w:sz w:val="44"/>
          <w:szCs w:val="44"/>
          <w:highlight w:val="none"/>
          <w:lang w:val="en-US" w:eastAsia="zh-CN"/>
        </w:rPr>
        <w:t>上西西铁小区堡坎维修工程</w:t>
      </w:r>
    </w:p>
    <w:p>
      <w:pPr>
        <w:rPr>
          <w:color w:val="auto"/>
          <w:highlight w:val="none"/>
        </w:rPr>
      </w:pPr>
    </w:p>
    <w:p>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竞</w:t>
      </w:r>
    </w:p>
    <w:p>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争</w:t>
      </w:r>
    </w:p>
    <w:p>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性</w:t>
      </w:r>
    </w:p>
    <w:p>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磋</w:t>
      </w:r>
    </w:p>
    <w:p>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商</w:t>
      </w:r>
    </w:p>
    <w:p>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文</w:t>
      </w:r>
    </w:p>
    <w:p>
      <w:pPr>
        <w:widowControl/>
        <w:snapToGrid w:val="0"/>
        <w:spacing w:line="800" w:lineRule="exact"/>
        <w:jc w:val="center"/>
        <w:textAlignment w:val="baseline"/>
        <w:rPr>
          <w:rFonts w:eastAsia="楷体_GB2312"/>
          <w:b/>
          <w:bCs/>
          <w:color w:val="auto"/>
          <w:sz w:val="60"/>
          <w:szCs w:val="60"/>
          <w:highlight w:val="none"/>
        </w:rPr>
      </w:pPr>
      <w:r>
        <w:rPr>
          <w:rFonts w:eastAsia="楷体_GB2312"/>
          <w:b/>
          <w:bCs/>
          <w:color w:val="auto"/>
          <w:sz w:val="60"/>
          <w:szCs w:val="60"/>
          <w:highlight w:val="none"/>
        </w:rPr>
        <w:t>件</w:t>
      </w:r>
    </w:p>
    <w:p>
      <w:pPr>
        <w:pStyle w:val="25"/>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pPr>
    </w:p>
    <w:p/>
    <w:p>
      <w:pPr>
        <w:rPr>
          <w:color w:val="auto"/>
          <w:highlight w:val="none"/>
        </w:rPr>
      </w:pPr>
    </w:p>
    <w:p>
      <w:pPr>
        <w:pStyle w:val="2"/>
      </w:pPr>
    </w:p>
    <w:p>
      <w:pPr>
        <w:pStyle w:val="2"/>
        <w:rPr>
          <w:color w:val="auto"/>
          <w:highlight w:val="none"/>
        </w:rPr>
      </w:pPr>
    </w:p>
    <w:p>
      <w:pPr>
        <w:snapToGrid w:val="0"/>
        <w:spacing w:line="400" w:lineRule="exact"/>
        <w:jc w:val="center"/>
        <w:textAlignment w:val="baseline"/>
        <w:rPr>
          <w:rFonts w:hint="eastAsia" w:ascii="楷体" w:hAnsi="楷体" w:eastAsia="楷体"/>
          <w:b/>
          <w:color w:val="FF0000"/>
          <w:sz w:val="28"/>
          <w:szCs w:val="32"/>
          <w:highlight w:val="none"/>
          <w:lang w:val="en-US" w:eastAsia="zh-CN"/>
        </w:rPr>
      </w:pPr>
      <w:r>
        <w:rPr>
          <w:rFonts w:hint="eastAsia" w:ascii="楷体" w:hAnsi="楷体" w:eastAsia="楷体"/>
          <w:b/>
          <w:color w:val="FF0000"/>
          <w:sz w:val="28"/>
          <w:szCs w:val="32"/>
          <w:highlight w:val="none"/>
          <w:lang w:val="en-US" w:eastAsia="zh-CN"/>
        </w:rPr>
        <w:t>广元市农业发展集团有限公司</w:t>
      </w:r>
    </w:p>
    <w:p>
      <w:pPr>
        <w:snapToGrid w:val="0"/>
        <w:spacing w:line="360" w:lineRule="auto"/>
        <w:jc w:val="center"/>
        <w:textAlignment w:val="baseline"/>
        <w:rPr>
          <w:rFonts w:ascii="楷体" w:hAnsi="楷体" w:eastAsia="楷体"/>
          <w:b/>
          <w:color w:val="auto"/>
          <w:sz w:val="28"/>
          <w:szCs w:val="32"/>
          <w:highlight w:val="none"/>
        </w:rPr>
        <w:sectPr>
          <w:headerReference r:id="rId4" w:type="first"/>
          <w:headerReference r:id="rId3" w:type="default"/>
          <w:footerReference r:id="rId5" w:type="default"/>
          <w:type w:val="continuous"/>
          <w:pgSz w:w="11907" w:h="16839"/>
          <w:pgMar w:top="1440" w:right="1800" w:bottom="1440" w:left="1800" w:header="851" w:footer="850" w:gutter="0"/>
          <w:pgBorders>
            <w:top w:val="none" w:sz="0" w:space="0"/>
            <w:left w:val="none" w:sz="0" w:space="0"/>
            <w:bottom w:val="none" w:sz="0" w:space="0"/>
            <w:right w:val="none" w:sz="0" w:space="0"/>
          </w:pgBorders>
          <w:pgNumType w:start="1"/>
          <w:cols w:space="720" w:num="1"/>
          <w:docGrid w:linePitch="312" w:charSpace="0"/>
        </w:sectPr>
      </w:pPr>
      <w:r>
        <w:rPr>
          <w:rFonts w:hint="eastAsia" w:ascii="楷体" w:hAnsi="楷体" w:eastAsia="楷体"/>
          <w:b/>
          <w:color w:val="auto"/>
          <w:sz w:val="28"/>
          <w:szCs w:val="32"/>
          <w:highlight w:val="none"/>
        </w:rPr>
        <w:t>2023年</w:t>
      </w:r>
      <w:r>
        <w:rPr>
          <w:rFonts w:hint="eastAsia" w:ascii="楷体" w:hAnsi="楷体" w:eastAsia="楷体"/>
          <w:b/>
          <w:color w:val="auto"/>
          <w:sz w:val="28"/>
          <w:szCs w:val="32"/>
          <w:highlight w:val="none"/>
          <w:lang w:val="en-US" w:eastAsia="zh-CN"/>
        </w:rPr>
        <w:t>11</w:t>
      </w:r>
      <w:r>
        <w:rPr>
          <w:rFonts w:hint="eastAsia" w:ascii="楷体" w:hAnsi="楷体" w:eastAsia="楷体"/>
          <w:b/>
          <w:color w:val="auto"/>
          <w:sz w:val="28"/>
          <w:szCs w:val="32"/>
          <w:highlight w:val="none"/>
        </w:rPr>
        <w:t>月</w:t>
      </w:r>
    </w:p>
    <w:p>
      <w:pPr>
        <w:pStyle w:val="24"/>
        <w:snapToGrid w:val="0"/>
        <w:jc w:val="center"/>
        <w:textAlignment w:val="baseline"/>
        <w:rPr>
          <w:rFonts w:ascii="仿宋_GB2312" w:hAnsi="仿宋_GB2312" w:eastAsia="仿宋_GB2312" w:cs="仿宋_GB2312"/>
          <w:color w:val="auto"/>
          <w:sz w:val="44"/>
          <w:szCs w:val="44"/>
          <w:highlight w:val="none"/>
        </w:rPr>
      </w:pPr>
      <w:bookmarkStart w:id="0" w:name="_Toc23032"/>
      <w:bookmarkStart w:id="1" w:name="_Toc18007"/>
      <w:bookmarkStart w:id="2" w:name="_Toc26285"/>
      <w:bookmarkStart w:id="3" w:name="_Toc42015015"/>
      <w:bookmarkStart w:id="4" w:name="_Toc9544"/>
      <w:bookmarkStart w:id="5" w:name="_Toc42014950"/>
      <w:bookmarkStart w:id="6" w:name="_Toc26050"/>
      <w:bookmarkStart w:id="7" w:name="_Toc1785"/>
      <w:r>
        <w:rPr>
          <w:rFonts w:hint="eastAsia" w:ascii="仿宋_GB2312" w:hAnsi="仿宋_GB2312" w:eastAsia="仿宋_GB2312" w:cs="仿宋_GB2312"/>
          <w:color w:val="auto"/>
          <w:sz w:val="44"/>
          <w:szCs w:val="44"/>
          <w:highlight w:val="none"/>
        </w:rPr>
        <w:t>目    录</w:t>
      </w:r>
    </w:p>
    <w:p>
      <w:pPr>
        <w:pStyle w:val="24"/>
        <w:snapToGrid w:val="0"/>
        <w:textAlignment w:val="baseline"/>
        <w:rPr>
          <w:rFonts w:ascii="仿宋_GB2312" w:hAnsi="仿宋_GB2312" w:eastAsia="仿宋_GB2312" w:cs="仿宋_GB2312"/>
          <w:color w:val="auto"/>
          <w:sz w:val="28"/>
          <w:szCs w:val="28"/>
          <w:highlight w:val="none"/>
        </w:rPr>
      </w:pPr>
    </w:p>
    <w:p>
      <w:pPr>
        <w:pStyle w:val="24"/>
        <w:snapToGrid w:val="0"/>
        <w:textAlignment w:val="baseline"/>
        <w:rPr>
          <w:rFonts w:ascii="仿宋_GB2312" w:hAnsi="仿宋_GB2312" w:eastAsia="仿宋_GB2312" w:cs="仿宋_GB2312"/>
          <w:color w:val="auto"/>
          <w:sz w:val="28"/>
          <w:szCs w:val="28"/>
          <w:highlight w:val="none"/>
        </w:rPr>
      </w:pP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_Toc31011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第一章  磋商公告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_Toc31011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_Toc29081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第二章  磋商须知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_Toc29081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_Toc12390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第三章  采购人要求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_Toc12390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_Toc12514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第四章  磋商内容、磋商过程中可实质性变动的内容</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_Toc12514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_Toc6260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第五章  响应文件格式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_Toc6260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_Toc1955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sz w:val="32"/>
          <w:szCs w:val="32"/>
          <w:highlight w:val="none"/>
        </w:rPr>
        <w:t xml:space="preserve">第六章  </w:t>
      </w:r>
      <w:r>
        <w:rPr>
          <w:rFonts w:hint="eastAsia" w:ascii="仿宋_GB2312" w:hAnsi="仿宋_GB2312" w:eastAsia="仿宋_GB2312" w:cs="仿宋_GB2312"/>
          <w:color w:val="auto"/>
          <w:sz w:val="32"/>
          <w:szCs w:val="32"/>
          <w:highlight w:val="none"/>
        </w:rPr>
        <w:t>评审方法</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_Toc1955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_Toc26006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32"/>
          <w:szCs w:val="32"/>
          <w:highlight w:val="none"/>
        </w:rPr>
        <w:t>第七章</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32"/>
          <w:szCs w:val="32"/>
          <w:highlight w:val="none"/>
        </w:rPr>
        <w:t>采购合同（范本）</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_Toc26006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56</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pPr>
        <w:pStyle w:val="24"/>
        <w:keepNext w:val="0"/>
        <w:keepLines w:val="0"/>
        <w:pageBreakBefore w:val="0"/>
        <w:tabs>
          <w:tab w:val="right" w:leader="dot" w:pos="8313"/>
          <w:tab w:val="clear" w:pos="11057"/>
        </w:tabs>
        <w:kinsoku/>
        <w:wordWrap/>
        <w:overflowPunct/>
        <w:topLinePunct w:val="0"/>
        <w:autoSpaceDE/>
        <w:autoSpaceDN/>
        <w:bidi w:val="0"/>
        <w:adjustRightInd/>
        <w:spacing w:line="48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_Toc22025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32"/>
          <w:szCs w:val="32"/>
          <w:highlight w:val="none"/>
        </w:rPr>
        <w:t>第八章</w:t>
      </w:r>
      <w:r>
        <w:rPr>
          <w:rFonts w:hint="eastAsia" w:ascii="仿宋_GB2312" w:hAnsi="仿宋_GB2312" w:eastAsia="仿宋_GB2312" w:cs="仿宋_GB2312"/>
          <w:bCs/>
          <w:color w:val="auto"/>
          <w:sz w:val="28"/>
          <w:szCs w:val="28"/>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工程量清单和图纸</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PAGEREF _Toc22025 \h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74</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fldChar w:fldCharType="end"/>
      </w:r>
    </w:p>
    <w:p>
      <w:pPr>
        <w:pStyle w:val="2"/>
        <w:keepNext w:val="0"/>
        <w:keepLines w:val="0"/>
        <w:pageBreakBefore w:val="0"/>
        <w:kinsoku/>
        <w:wordWrap/>
        <w:overflowPunct/>
        <w:topLinePunct w:val="0"/>
        <w:autoSpaceDE/>
        <w:autoSpaceDN/>
        <w:bidi w:val="0"/>
        <w:adjustRightInd/>
        <w:snapToGrid w:val="0"/>
        <w:spacing w:after="312" w:line="480" w:lineRule="auto"/>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Cs w:val="32"/>
          <w:highlight w:val="none"/>
        </w:rPr>
        <w:fldChar w:fldCharType="end"/>
      </w:r>
    </w:p>
    <w:p>
      <w:pPr>
        <w:snapToGrid w:val="0"/>
        <w:textAlignment w:val="baseline"/>
        <w:rPr>
          <w:rFonts w:ascii="仿宋_GB2312" w:hAnsi="仿宋_GB2312" w:eastAsia="仿宋_GB2312" w:cs="仿宋_GB2312"/>
          <w:color w:val="auto"/>
          <w:sz w:val="28"/>
          <w:szCs w:val="28"/>
          <w:highlight w:val="none"/>
        </w:rPr>
      </w:pPr>
    </w:p>
    <w:p>
      <w:pPr>
        <w:pStyle w:val="2"/>
        <w:snapToGrid w:val="0"/>
        <w:textAlignment w:val="baseline"/>
        <w:rPr>
          <w:rFonts w:ascii="仿宋_GB2312" w:hAnsi="仿宋_GB2312" w:eastAsia="仿宋_GB2312" w:cs="仿宋_GB2312"/>
          <w:color w:val="auto"/>
          <w:sz w:val="28"/>
          <w:szCs w:val="28"/>
          <w:highlight w:val="none"/>
        </w:rPr>
      </w:pPr>
    </w:p>
    <w:p>
      <w:pPr>
        <w:snapToGrid w:val="0"/>
        <w:textAlignment w:val="baseline"/>
        <w:rPr>
          <w:rFonts w:ascii="仿宋_GB2312" w:hAnsi="仿宋_GB2312" w:eastAsia="仿宋_GB2312" w:cs="仿宋_GB2312"/>
          <w:color w:val="auto"/>
          <w:sz w:val="28"/>
          <w:szCs w:val="28"/>
          <w:highlight w:val="none"/>
        </w:rPr>
        <w:sectPr>
          <w:headerReference r:id="rId6" w:type="default"/>
          <w:footerReference r:id="rId7" w:type="default"/>
          <w:pgSz w:w="11907" w:h="16839"/>
          <w:pgMar w:top="1440" w:right="1797" w:bottom="1440" w:left="1797" w:header="851" w:footer="850" w:gutter="0"/>
          <w:pgBorders>
            <w:top w:val="none" w:sz="0" w:space="0"/>
            <w:left w:val="none" w:sz="0" w:space="0"/>
            <w:bottom w:val="none" w:sz="0" w:space="0"/>
            <w:right w:val="none" w:sz="0" w:space="0"/>
          </w:pgBorders>
          <w:pgNumType w:start="1"/>
          <w:cols w:space="720" w:num="1"/>
          <w:docGrid w:linePitch="312" w:charSpace="0"/>
        </w:sectPr>
      </w:pPr>
    </w:p>
    <w:p>
      <w:pPr>
        <w:pStyle w:val="3"/>
        <w:jc w:val="center"/>
        <w:rPr>
          <w:rFonts w:hint="eastAsia" w:ascii="黑体" w:hAnsi="黑体" w:eastAsia="黑体" w:cs="黑体"/>
          <w:color w:val="auto"/>
          <w:sz w:val="36"/>
          <w:szCs w:val="36"/>
          <w:highlight w:val="none"/>
        </w:rPr>
      </w:pPr>
      <w:bookmarkStart w:id="8" w:name="_Toc17598"/>
      <w:bookmarkStart w:id="9" w:name="_Toc2019"/>
      <w:bookmarkStart w:id="10" w:name="_Toc17070"/>
      <w:bookmarkStart w:id="11" w:name="_Toc3125"/>
      <w:bookmarkStart w:id="12" w:name="_Toc42015216"/>
      <w:bookmarkStart w:id="13" w:name="_Toc3677"/>
      <w:bookmarkStart w:id="14" w:name="_Toc18045"/>
      <w:bookmarkStart w:id="15" w:name="_Toc20574"/>
      <w:bookmarkStart w:id="16" w:name="_Toc15378"/>
      <w:bookmarkStart w:id="17" w:name="_Toc13123"/>
      <w:bookmarkStart w:id="18" w:name="_Toc31262"/>
      <w:bookmarkStart w:id="19" w:name="_Toc28018"/>
      <w:bookmarkStart w:id="20" w:name="_Toc13217"/>
      <w:bookmarkStart w:id="21" w:name="_Toc31011"/>
      <w:bookmarkStart w:id="22" w:name="_Toc9568"/>
      <w:r>
        <w:rPr>
          <w:rFonts w:hint="eastAsia" w:ascii="黑体" w:hAnsi="黑体" w:eastAsia="黑体" w:cs="黑体"/>
          <w:color w:val="auto"/>
          <w:sz w:val="36"/>
          <w:szCs w:val="36"/>
          <w:highlight w:val="none"/>
        </w:rPr>
        <w:t xml:space="preserve">第一章 </w:t>
      </w:r>
      <w:bookmarkEnd w:id="0"/>
      <w:bookmarkEnd w:id="1"/>
      <w:bookmarkEnd w:id="2"/>
      <w:bookmarkEnd w:id="3"/>
      <w:bookmarkEnd w:id="4"/>
      <w:bookmarkEnd w:id="5"/>
      <w:bookmarkEnd w:id="6"/>
      <w:bookmarkEnd w:id="7"/>
      <w:bookmarkEnd w:id="8"/>
      <w:bookmarkEnd w:id="9"/>
      <w:bookmarkEnd w:id="10"/>
      <w:bookmarkEnd w:id="11"/>
      <w:bookmarkEnd w:id="12"/>
      <w:r>
        <w:rPr>
          <w:rFonts w:hint="eastAsia" w:ascii="黑体" w:hAnsi="黑体" w:eastAsia="黑体" w:cs="黑体"/>
          <w:color w:val="auto"/>
          <w:sz w:val="36"/>
          <w:szCs w:val="36"/>
          <w:highlight w:val="none"/>
        </w:rPr>
        <w:t xml:space="preserve"> 磋商公告</w:t>
      </w:r>
      <w:bookmarkEnd w:id="13"/>
      <w:bookmarkEnd w:id="14"/>
      <w:bookmarkEnd w:id="15"/>
      <w:bookmarkEnd w:id="16"/>
      <w:bookmarkEnd w:id="17"/>
      <w:bookmarkEnd w:id="18"/>
      <w:bookmarkEnd w:id="19"/>
      <w:bookmarkEnd w:id="20"/>
      <w:bookmarkEnd w:id="21"/>
      <w:bookmarkEnd w:id="22"/>
    </w:p>
    <w:p>
      <w:pPr>
        <w:pStyle w:val="2"/>
        <w:ind w:firstLine="560" w:firstLineChars="200"/>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FF0000"/>
          <w:sz w:val="28"/>
          <w:szCs w:val="28"/>
          <w:highlight w:val="none"/>
          <w:u w:val="single"/>
          <w:lang w:eastAsia="zh-CN"/>
        </w:rPr>
        <w:t>广元市农业发展集团有限公司</w:t>
      </w:r>
      <w:r>
        <w:rPr>
          <w:rFonts w:hint="eastAsia" w:ascii="仿宋_GB2312" w:hAnsi="仿宋_GB2312" w:eastAsia="仿宋_GB2312" w:cs="仿宋_GB2312"/>
          <w:bCs/>
          <w:color w:val="auto"/>
          <w:sz w:val="28"/>
          <w:szCs w:val="28"/>
          <w:highlight w:val="none"/>
        </w:rPr>
        <w:t>，拟对</w:t>
      </w:r>
      <w:r>
        <w:rPr>
          <w:rFonts w:hint="eastAsia" w:ascii="仿宋_GB2312" w:hAnsi="仿宋_GB2312" w:eastAsia="仿宋_GB2312" w:cs="仿宋_GB2312"/>
          <w:bCs/>
          <w:color w:val="auto"/>
          <w:sz w:val="28"/>
          <w:szCs w:val="28"/>
          <w:highlight w:val="none"/>
          <w:lang w:val="en-US" w:eastAsia="zh-CN"/>
        </w:rPr>
        <w:t>上西西铁小区堡坎维修工程</w:t>
      </w:r>
      <w:r>
        <w:rPr>
          <w:rFonts w:hint="eastAsia" w:ascii="仿宋_GB2312" w:hAnsi="仿宋_GB2312" w:eastAsia="仿宋_GB2312" w:cs="仿宋_GB2312"/>
          <w:color w:val="auto"/>
          <w:sz w:val="28"/>
          <w:szCs w:val="28"/>
          <w:highlight w:val="none"/>
        </w:rPr>
        <w:t>采用竞争性磋商方式进行采购，特邀请符合本次采购要求的供应商参加本项目的竞争性磋商</w:t>
      </w:r>
      <w:r>
        <w:rPr>
          <w:rFonts w:hint="eastAsia" w:ascii="仿宋_GB2312" w:hAnsi="仿宋_GB2312" w:eastAsia="仿宋_GB2312" w:cs="仿宋_GB2312"/>
          <w:bCs/>
          <w:color w:val="auto"/>
          <w:sz w:val="28"/>
          <w:szCs w:val="28"/>
          <w:highlight w:val="none"/>
        </w:rPr>
        <w:t>。</w:t>
      </w:r>
    </w:p>
    <w:p>
      <w:pPr>
        <w:snapToGrid w:val="0"/>
        <w:spacing w:line="480" w:lineRule="exact"/>
        <w:ind w:firstLine="562" w:firstLineChars="200"/>
        <w:jc w:val="left"/>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一、采购项目基本情况</w:t>
      </w:r>
    </w:p>
    <w:p>
      <w:pPr>
        <w:tabs>
          <w:tab w:val="left" w:pos="7665"/>
        </w:tabs>
        <w:snapToGrid w:val="0"/>
        <w:spacing w:line="48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1.项目编号：SWUEECG20230</w:t>
      </w:r>
      <w:r>
        <w:rPr>
          <w:rFonts w:hint="eastAsia" w:ascii="仿宋_GB2312" w:hAnsi="仿宋_GB2312" w:eastAsia="仿宋_GB2312" w:cs="仿宋_GB2312"/>
          <w:color w:val="auto"/>
          <w:sz w:val="28"/>
          <w:szCs w:val="28"/>
          <w:highlight w:val="none"/>
          <w:lang w:val="en-US" w:eastAsia="zh-CN"/>
        </w:rPr>
        <w:t>XXX</w:t>
      </w:r>
      <w:r>
        <w:rPr>
          <w:rFonts w:hint="eastAsia" w:ascii="仿宋_GB2312" w:hAnsi="仿宋_GB2312" w:eastAsia="仿宋_GB2312" w:cs="仿宋_GB2312"/>
          <w:color w:val="auto"/>
          <w:sz w:val="28"/>
          <w:szCs w:val="28"/>
          <w:highlight w:val="none"/>
        </w:rPr>
        <w:t>/XJSGY-202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XXX</w:t>
      </w:r>
      <w:r>
        <w:rPr>
          <w:rFonts w:hint="eastAsia" w:ascii="仿宋_GB2312" w:hAnsi="仿宋_GB2312" w:eastAsia="仿宋_GB2312" w:cs="仿宋_GB2312"/>
          <w:color w:val="auto"/>
          <w:sz w:val="28"/>
          <w:szCs w:val="28"/>
          <w:highlight w:val="none"/>
        </w:rPr>
        <w:t>；</w:t>
      </w:r>
    </w:p>
    <w:p>
      <w:pPr>
        <w:tabs>
          <w:tab w:val="left" w:pos="7665"/>
        </w:tabs>
        <w:snapToGrid w:val="0"/>
        <w:spacing w:line="48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2.采购项目名称：</w:t>
      </w:r>
      <w:r>
        <w:rPr>
          <w:rFonts w:hint="eastAsia" w:ascii="仿宋_GB2312" w:hAnsi="仿宋_GB2312" w:eastAsia="仿宋_GB2312" w:cs="仿宋_GB2312"/>
          <w:bCs/>
          <w:strike w:val="0"/>
          <w:dstrike w:val="0"/>
          <w:color w:val="FF0000"/>
          <w:sz w:val="28"/>
          <w:szCs w:val="28"/>
          <w:highlight w:val="none"/>
          <w:u w:val="none"/>
          <w:lang w:val="en-US" w:eastAsia="zh-CN"/>
        </w:rPr>
        <w:t>上西西铁小区堡坎维修工程</w:t>
      </w:r>
      <w:r>
        <w:rPr>
          <w:rFonts w:hint="eastAsia" w:ascii="仿宋_GB2312" w:hAnsi="仿宋_GB2312" w:eastAsia="仿宋_GB2312" w:cs="仿宋_GB2312"/>
          <w:color w:val="auto"/>
          <w:sz w:val="28"/>
          <w:szCs w:val="28"/>
          <w:highlight w:val="none"/>
        </w:rPr>
        <w:t>;</w:t>
      </w:r>
    </w:p>
    <w:p>
      <w:pPr>
        <w:tabs>
          <w:tab w:val="left" w:pos="7665"/>
        </w:tabs>
        <w:snapToGrid w:val="0"/>
        <w:spacing w:line="48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3.采购人：</w:t>
      </w:r>
      <w:r>
        <w:rPr>
          <w:rFonts w:hint="eastAsia" w:ascii="仿宋_GB2312" w:hAnsi="仿宋_GB2312" w:eastAsia="仿宋_GB2312" w:cs="仿宋_GB2312"/>
          <w:color w:val="FF0000"/>
          <w:sz w:val="28"/>
          <w:szCs w:val="28"/>
          <w:highlight w:val="none"/>
          <w:lang w:val="en-US" w:eastAsia="zh-CN"/>
        </w:rPr>
        <w:t xml:space="preserve">  </w:t>
      </w:r>
      <w:r>
        <w:rPr>
          <w:rFonts w:hint="eastAsia" w:ascii="仿宋_GB2312" w:hAnsi="仿宋_GB2312" w:eastAsia="仿宋_GB2312" w:cs="仿宋_GB2312"/>
          <w:bCs/>
          <w:color w:val="FF0000"/>
          <w:sz w:val="28"/>
          <w:szCs w:val="28"/>
          <w:highlight w:val="none"/>
          <w:lang w:eastAsia="zh-CN"/>
        </w:rPr>
        <w:t>广元市农业发展集团有限公司</w:t>
      </w:r>
      <w:r>
        <w:rPr>
          <w:rFonts w:hint="eastAsia" w:ascii="仿宋_GB2312" w:hAnsi="仿宋_GB2312" w:eastAsia="仿宋_GB2312" w:cs="仿宋_GB2312"/>
          <w:color w:val="auto"/>
          <w:sz w:val="28"/>
          <w:szCs w:val="28"/>
          <w:highlight w:val="none"/>
        </w:rPr>
        <w:t>；</w:t>
      </w:r>
    </w:p>
    <w:p>
      <w:pPr>
        <w:tabs>
          <w:tab w:val="left" w:pos="7665"/>
        </w:tabs>
        <w:snapToGrid w:val="0"/>
        <w:spacing w:line="48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4.采购代理机构：</w:t>
      </w:r>
      <w:r>
        <w:rPr>
          <w:rFonts w:hint="eastAsia" w:ascii="仿宋_GB2312" w:hAnsi="仿宋_GB2312" w:eastAsia="仿宋_GB2312" w:cs="仿宋_GB2312"/>
          <w:color w:val="auto"/>
          <w:sz w:val="28"/>
          <w:szCs w:val="28"/>
          <w:highlight w:val="none"/>
          <w:lang w:eastAsia="zh-CN"/>
        </w:rPr>
        <w:t>无</w:t>
      </w:r>
      <w:r>
        <w:rPr>
          <w:rFonts w:hint="eastAsia" w:ascii="仿宋_GB2312" w:hAnsi="仿宋_GB2312" w:eastAsia="仿宋_GB2312" w:cs="仿宋_GB2312"/>
          <w:color w:val="auto"/>
          <w:sz w:val="28"/>
          <w:szCs w:val="28"/>
          <w:highlight w:val="none"/>
        </w:rPr>
        <w:t>。</w:t>
      </w:r>
    </w:p>
    <w:p>
      <w:pPr>
        <w:snapToGrid w:val="0"/>
        <w:spacing w:line="480" w:lineRule="exact"/>
        <w:ind w:firstLine="562" w:firstLineChars="200"/>
        <w:jc w:val="left"/>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二、资金来源</w:t>
      </w:r>
    </w:p>
    <w:p>
      <w:pPr>
        <w:tabs>
          <w:tab w:val="left" w:pos="7665"/>
        </w:tabs>
        <w:snapToGrid w:val="0"/>
        <w:spacing w:line="480" w:lineRule="exact"/>
        <w:ind w:firstLine="560" w:firstLineChars="200"/>
        <w:jc w:val="left"/>
        <w:textAlignment w:val="baseline"/>
        <w:rPr>
          <w:rFonts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资金来源：</w:t>
      </w:r>
      <w:r>
        <w:rPr>
          <w:rFonts w:hint="eastAsia" w:ascii="仿宋_GB2312" w:hAnsi="仿宋_GB2312" w:eastAsia="仿宋_GB2312" w:cs="仿宋_GB2312"/>
          <w:color w:val="FF0000"/>
          <w:sz w:val="28"/>
          <w:szCs w:val="28"/>
          <w:highlight w:val="none"/>
          <w:lang w:eastAsia="zh-CN"/>
        </w:rPr>
        <w:t>企业自筹</w:t>
      </w:r>
      <w:r>
        <w:rPr>
          <w:rFonts w:hint="eastAsia" w:ascii="仿宋_GB2312" w:hAnsi="仿宋_GB2312" w:eastAsia="仿宋_GB2312" w:cs="仿宋_GB2312"/>
          <w:color w:val="FF0000"/>
          <w:sz w:val="28"/>
          <w:szCs w:val="28"/>
          <w:highlight w:val="none"/>
        </w:rPr>
        <w:t>;</w:t>
      </w:r>
    </w:p>
    <w:p>
      <w:pPr>
        <w:tabs>
          <w:tab w:val="left" w:pos="7665"/>
        </w:tabs>
        <w:snapToGrid w:val="0"/>
        <w:spacing w:line="480" w:lineRule="exact"/>
        <w:ind w:firstLine="560" w:firstLineChars="200"/>
        <w:jc w:val="left"/>
        <w:textAlignment w:val="baseline"/>
        <w:rPr>
          <w:rFonts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预算金额：¥</w:t>
      </w:r>
      <w:r>
        <w:rPr>
          <w:rFonts w:hint="eastAsia" w:ascii="仿宋_GB2312" w:hAnsi="仿宋_GB2312" w:eastAsia="仿宋_GB2312" w:cs="仿宋_GB2312"/>
          <w:color w:val="FF0000"/>
          <w:sz w:val="28"/>
          <w:szCs w:val="28"/>
          <w:highlight w:val="none"/>
          <w:lang w:val="en-US" w:eastAsia="zh-CN"/>
        </w:rPr>
        <w:t>8，5000.00</w:t>
      </w:r>
      <w:r>
        <w:rPr>
          <w:rFonts w:hint="eastAsia" w:ascii="仿宋_GB2312" w:hAnsi="仿宋_GB2312" w:eastAsia="仿宋_GB2312" w:cs="仿宋_GB2312"/>
          <w:color w:val="FF0000"/>
          <w:sz w:val="28"/>
          <w:szCs w:val="28"/>
          <w:highlight w:val="none"/>
        </w:rPr>
        <w:t>元（大写：人民币</w:t>
      </w:r>
      <w:r>
        <w:rPr>
          <w:rFonts w:hint="eastAsia" w:ascii="仿宋_GB2312" w:hAnsi="仿宋_GB2312" w:eastAsia="仿宋_GB2312" w:cs="仿宋_GB2312"/>
          <w:color w:val="FF0000"/>
          <w:sz w:val="28"/>
          <w:szCs w:val="28"/>
          <w:highlight w:val="none"/>
          <w:lang w:val="en-US" w:eastAsia="zh-CN"/>
        </w:rPr>
        <w:t>捌万伍仟元整</w:t>
      </w:r>
      <w:r>
        <w:rPr>
          <w:rFonts w:hint="eastAsia" w:ascii="仿宋_GB2312" w:hAnsi="仿宋_GB2312" w:eastAsia="仿宋_GB2312" w:cs="仿宋_GB2312"/>
          <w:color w:val="FF0000"/>
          <w:sz w:val="28"/>
          <w:szCs w:val="28"/>
          <w:highlight w:val="none"/>
        </w:rPr>
        <w:t>）。</w:t>
      </w:r>
    </w:p>
    <w:p>
      <w:pPr>
        <w:tabs>
          <w:tab w:val="left" w:pos="7665"/>
        </w:tabs>
        <w:snapToGrid w:val="0"/>
        <w:spacing w:line="480" w:lineRule="exact"/>
        <w:ind w:firstLine="562" w:firstLineChars="200"/>
        <w:jc w:val="left"/>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三、采购项目简介</w:t>
      </w:r>
    </w:p>
    <w:p>
      <w:pPr>
        <w:snapToGrid w:val="0"/>
        <w:spacing w:line="480" w:lineRule="exact"/>
        <w:ind w:firstLine="560" w:firstLineChars="200"/>
        <w:jc w:val="left"/>
        <w:textAlignment w:val="baseline"/>
        <w:rPr>
          <w:rFonts w:hint="eastAsia" w:eastAsia="仿宋_GB2312"/>
          <w:color w:val="FF0000"/>
          <w:sz w:val="28"/>
          <w:highlight w:val="none"/>
        </w:rPr>
      </w:pPr>
      <w:r>
        <w:rPr>
          <w:rFonts w:hint="eastAsia" w:ascii="仿宋_GB2312" w:hAnsi="仿宋_GB2312" w:eastAsia="仿宋_GB2312" w:cs="仿宋_GB2312"/>
          <w:color w:val="FF0000"/>
          <w:sz w:val="28"/>
          <w:highlight w:val="none"/>
          <w:lang w:val="en-US" w:eastAsia="zh-CN"/>
        </w:rPr>
        <w:t>本项目为XXXXX 工程</w:t>
      </w:r>
      <w:r>
        <w:rPr>
          <w:rFonts w:hint="eastAsia" w:eastAsia="仿宋_GB2312"/>
          <w:color w:val="FF0000"/>
          <w:sz w:val="28"/>
          <w:highlight w:val="none"/>
        </w:rPr>
        <w:t>。</w:t>
      </w:r>
    </w:p>
    <w:p>
      <w:pPr>
        <w:snapToGrid w:val="0"/>
        <w:spacing w:line="480" w:lineRule="exact"/>
        <w:ind w:firstLine="560" w:firstLineChars="200"/>
        <w:jc w:val="left"/>
        <w:textAlignment w:val="baseline"/>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（详见磋商文件第三章）</w:t>
      </w:r>
    </w:p>
    <w:p>
      <w:pPr>
        <w:snapToGrid w:val="0"/>
        <w:spacing w:line="480" w:lineRule="exact"/>
        <w:ind w:firstLine="562" w:firstLineChars="200"/>
        <w:jc w:val="left"/>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四、供应商邀请方式</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本项目在</w:t>
      </w:r>
      <w:r>
        <w:rPr>
          <w:rFonts w:hint="eastAsia" w:ascii="仿宋_GB2312" w:hAnsi="仿宋_GB2312" w:eastAsia="仿宋_GB2312" w:cs="仿宋_GB2312"/>
          <w:bCs/>
          <w:color w:val="auto"/>
          <w:sz w:val="28"/>
          <w:szCs w:val="28"/>
          <w:highlight w:val="none"/>
          <w:lang w:eastAsia="zh-CN"/>
        </w:rPr>
        <w:t>广元市农业发展集团有限公司官网（www.gynfjt.com）</w:t>
      </w:r>
      <w:r>
        <w:rPr>
          <w:rFonts w:hint="eastAsia" w:ascii="仿宋_GB2312" w:hAnsi="仿宋_GB2312" w:eastAsia="仿宋_GB2312" w:cs="仿宋_GB2312"/>
          <w:bCs/>
          <w:color w:val="auto"/>
          <w:sz w:val="28"/>
          <w:szCs w:val="28"/>
          <w:highlight w:val="none"/>
        </w:rPr>
        <w:t>以公告形式发布，以</w:t>
      </w:r>
      <w:r>
        <w:rPr>
          <w:rFonts w:hint="eastAsia" w:ascii="仿宋_GB2312" w:hAnsi="仿宋_GB2312" w:eastAsia="仿宋_GB2312" w:cs="仿宋_GB2312"/>
          <w:bCs/>
          <w:color w:val="auto"/>
          <w:sz w:val="28"/>
          <w:szCs w:val="28"/>
          <w:highlight w:val="none"/>
          <w:lang w:eastAsia="zh-CN"/>
        </w:rPr>
        <w:t>广元市农业发展集团有限公司官网</w:t>
      </w:r>
      <w:r>
        <w:rPr>
          <w:rFonts w:hint="eastAsia" w:ascii="仿宋_GB2312" w:hAnsi="仿宋_GB2312" w:eastAsia="仿宋_GB2312" w:cs="仿宋_GB2312"/>
          <w:bCs/>
          <w:color w:val="auto"/>
          <w:sz w:val="28"/>
          <w:szCs w:val="28"/>
          <w:highlight w:val="none"/>
        </w:rPr>
        <w:t>网站发布的信息为准。</w:t>
      </w:r>
    </w:p>
    <w:p>
      <w:pPr>
        <w:snapToGrid w:val="0"/>
        <w:spacing w:line="480" w:lineRule="exact"/>
        <w:ind w:firstLine="562" w:firstLineChars="200"/>
        <w:jc w:val="left"/>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五、供应商参加本次采购活动应具备下列条件</w:t>
      </w:r>
    </w:p>
    <w:p>
      <w:pPr>
        <w:spacing w:line="480" w:lineRule="exact"/>
        <w:ind w:firstLine="562" w:firstLineChars="200"/>
        <w:outlineLvl w:val="1"/>
        <w:rPr>
          <w:rFonts w:ascii="宋体" w:hAnsi="宋体"/>
          <w:color w:val="auto"/>
          <w:sz w:val="28"/>
          <w:szCs w:val="28"/>
          <w:highlight w:val="none"/>
        </w:rPr>
      </w:pPr>
      <w:bookmarkStart w:id="23" w:name="_Toc16418"/>
      <w:bookmarkStart w:id="24" w:name="_Toc11644"/>
      <w:r>
        <w:rPr>
          <w:rFonts w:hint="eastAsia" w:ascii="仿宋_GB2312" w:hAnsi="仿宋_GB2312" w:eastAsia="仿宋_GB2312" w:cs="仿宋_GB2312"/>
          <w:b/>
          <w:bCs/>
          <w:color w:val="auto"/>
          <w:sz w:val="28"/>
          <w:szCs w:val="28"/>
          <w:highlight w:val="none"/>
        </w:rPr>
        <w:t>（一）一般资格要求</w:t>
      </w:r>
      <w:bookmarkEnd w:id="23"/>
      <w:bookmarkEnd w:id="24"/>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1.具有独立承担民事责任的能力；</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2.具有良好的商业信誉和健全的财务会计制度；</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3.具有履行合同所必需的设备和专业技术能力；</w:t>
      </w:r>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4.具有依法缴纳税收和社会保障资金的良好记录；</w:t>
      </w:r>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5.参加本次采购活动前三年内（2020年1月1日以来），</w:t>
      </w:r>
      <w:r>
        <w:rPr>
          <w:rFonts w:hint="eastAsia" w:ascii="仿宋_GB2312" w:hAnsi="仿宋" w:eastAsia="仿宋_GB2312" w:cs="仿宋"/>
          <w:color w:val="auto"/>
          <w:sz w:val="28"/>
          <w:szCs w:val="28"/>
          <w:highlight w:val="none"/>
          <w:lang w:eastAsia="zh-CN"/>
        </w:rPr>
        <w:t>在经营活动中没有重大违法记录</w:t>
      </w:r>
      <w:r>
        <w:rPr>
          <w:rFonts w:hint="eastAsia" w:ascii="仿宋_GB2312" w:hAnsi="仿宋" w:eastAsia="仿宋_GB2312" w:cs="仿宋"/>
          <w:color w:val="auto"/>
          <w:sz w:val="28"/>
          <w:szCs w:val="28"/>
          <w:highlight w:val="none"/>
        </w:rPr>
        <w:t>；</w:t>
      </w:r>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6.供应商单位及其现任法定代表人、主要负责人参加本次采购活动前三年内（2020年1月1日以来）不得具有行贿犯罪记录；</w:t>
      </w:r>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7.供应商未被列入工商系统经营异常名录或严重违法失信企业名单或者人民法院公布的失信被执行人名单；</w:t>
      </w:r>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8.法律、行政法规规定的其他条件。</w:t>
      </w:r>
    </w:p>
    <w:p>
      <w:pPr>
        <w:spacing w:line="480" w:lineRule="exact"/>
        <w:ind w:firstLine="562" w:firstLineChars="200"/>
        <w:outlineLvl w:val="1"/>
        <w:rPr>
          <w:rFonts w:hint="eastAsia" w:ascii="仿宋_GB2312" w:hAnsi="仿宋_GB2312" w:eastAsia="仿宋_GB2312" w:cs="仿宋_GB2312"/>
          <w:b/>
          <w:bCs/>
          <w:color w:val="auto"/>
          <w:sz w:val="28"/>
          <w:szCs w:val="28"/>
          <w:highlight w:val="none"/>
        </w:rPr>
      </w:pPr>
      <w:bookmarkStart w:id="25" w:name="_Toc4278"/>
      <w:r>
        <w:rPr>
          <w:rFonts w:hint="eastAsia" w:ascii="仿宋_GB2312" w:hAnsi="仿宋_GB2312" w:eastAsia="仿宋_GB2312" w:cs="仿宋_GB2312"/>
          <w:b/>
          <w:bCs/>
          <w:color w:val="auto"/>
          <w:sz w:val="28"/>
          <w:szCs w:val="28"/>
          <w:highlight w:val="none"/>
        </w:rPr>
        <w:t>（二）针对本项目的特殊资格要求：</w:t>
      </w:r>
      <w:bookmarkEnd w:id="25"/>
    </w:p>
    <w:p>
      <w:pPr>
        <w:spacing w:line="480" w:lineRule="exact"/>
        <w:ind w:firstLine="560" w:firstLineChars="200"/>
        <w:rPr>
          <w:rFonts w:ascii="仿宋_GB2312" w:hAnsi="仿宋" w:eastAsia="仿宋_GB2312" w:cs="仿宋"/>
          <w:color w:val="FF0000"/>
          <w:sz w:val="28"/>
          <w:szCs w:val="28"/>
          <w:highlight w:val="none"/>
        </w:rPr>
      </w:pPr>
      <w:r>
        <w:rPr>
          <w:rFonts w:hint="eastAsia" w:ascii="仿宋_GB2312" w:hAnsi="仿宋" w:eastAsia="仿宋_GB2312" w:cs="仿宋"/>
          <w:color w:val="FF0000"/>
          <w:sz w:val="28"/>
          <w:szCs w:val="28"/>
          <w:highlight w:val="none"/>
        </w:rPr>
        <w:t>1.具有国家行政主管部门颁发的工程施工总承包三级及以上资质；</w:t>
      </w:r>
    </w:p>
    <w:p>
      <w:pPr>
        <w:spacing w:line="480" w:lineRule="exact"/>
        <w:ind w:firstLine="560" w:firstLineChars="200"/>
        <w:rPr>
          <w:rFonts w:ascii="仿宋_GB2312" w:hAnsi="仿宋" w:eastAsia="仿宋_GB2312" w:cs="仿宋"/>
          <w:color w:val="FF0000"/>
          <w:sz w:val="28"/>
          <w:szCs w:val="28"/>
          <w:highlight w:val="none"/>
        </w:rPr>
      </w:pPr>
      <w:r>
        <w:rPr>
          <w:rFonts w:hint="eastAsia" w:ascii="仿宋_GB2312" w:hAnsi="仿宋" w:eastAsia="仿宋_GB2312" w:cs="仿宋"/>
          <w:color w:val="FF0000"/>
          <w:sz w:val="28"/>
          <w:szCs w:val="28"/>
          <w:highlight w:val="none"/>
        </w:rPr>
        <w:t>2.具备有效的安全生产许可证；</w:t>
      </w:r>
    </w:p>
    <w:p>
      <w:pPr>
        <w:spacing w:line="480" w:lineRule="exact"/>
        <w:ind w:firstLine="560" w:firstLineChars="200"/>
        <w:rPr>
          <w:rFonts w:ascii="仿宋_GB2312" w:hAnsi="仿宋" w:eastAsia="仿宋_GB2312" w:cs="仿宋"/>
          <w:color w:val="FF0000"/>
          <w:sz w:val="28"/>
          <w:szCs w:val="28"/>
          <w:highlight w:val="none"/>
        </w:rPr>
      </w:pPr>
      <w:r>
        <w:rPr>
          <w:rFonts w:hint="eastAsia" w:ascii="仿宋_GB2312" w:hAnsi="仿宋" w:eastAsia="仿宋_GB2312" w:cs="仿宋"/>
          <w:color w:val="FF0000"/>
          <w:sz w:val="28"/>
          <w:szCs w:val="28"/>
          <w:highlight w:val="none"/>
          <w:lang w:val="en-US" w:eastAsia="zh-CN"/>
        </w:rPr>
        <w:t>3</w:t>
      </w:r>
      <w:r>
        <w:rPr>
          <w:rFonts w:hint="eastAsia" w:ascii="仿宋_GB2312" w:hAnsi="仿宋" w:eastAsia="仿宋_GB2312" w:cs="仿宋"/>
          <w:color w:val="FF0000"/>
          <w:sz w:val="28"/>
          <w:szCs w:val="28"/>
          <w:highlight w:val="none"/>
        </w:rPr>
        <w:t>.项目经理：具有全国注册建造师二级及以上资格、具有</w:t>
      </w:r>
      <w:r>
        <w:rPr>
          <w:rFonts w:hint="eastAsia" w:ascii="仿宋_GB2312" w:hAnsi="仿宋" w:eastAsia="仿宋_GB2312" w:cs="仿宋"/>
          <w:color w:val="FF0000"/>
          <w:sz w:val="28"/>
          <w:szCs w:val="28"/>
          <w:highlight w:val="none"/>
          <w:lang w:eastAsia="zh-CN"/>
        </w:rPr>
        <w:t>行政</w:t>
      </w:r>
      <w:r>
        <w:rPr>
          <w:rFonts w:hint="eastAsia" w:ascii="仿宋_GB2312" w:hAnsi="仿宋" w:eastAsia="仿宋_GB2312" w:cs="仿宋"/>
          <w:color w:val="FF0000"/>
          <w:sz w:val="28"/>
          <w:szCs w:val="28"/>
          <w:highlight w:val="none"/>
        </w:rPr>
        <w:t>主管部门颁发的安全生产考核合格B证；项目技术负责人：具有工程类专业中级及以上技术职称；</w:t>
      </w:r>
    </w:p>
    <w:p>
      <w:pPr>
        <w:spacing w:line="480" w:lineRule="exact"/>
        <w:ind w:firstLine="560" w:firstLineChars="200"/>
        <w:rPr>
          <w:rFonts w:ascii="仿宋_GB2312" w:hAnsi="仿宋" w:eastAsia="仿宋_GB2312" w:cs="仿宋"/>
          <w:color w:val="FF0000"/>
          <w:sz w:val="28"/>
          <w:szCs w:val="28"/>
          <w:highlight w:val="none"/>
        </w:rPr>
      </w:pPr>
      <w:r>
        <w:rPr>
          <w:rFonts w:hint="eastAsia" w:ascii="仿宋_GB2312" w:hAnsi="仿宋" w:eastAsia="仿宋_GB2312" w:cs="仿宋"/>
          <w:color w:val="FF0000"/>
          <w:sz w:val="28"/>
          <w:szCs w:val="28"/>
          <w:highlight w:val="none"/>
          <w:lang w:val="en-US" w:eastAsia="zh-CN"/>
        </w:rPr>
        <w:t>4</w:t>
      </w:r>
      <w:r>
        <w:rPr>
          <w:rFonts w:hint="eastAsia" w:ascii="仿宋_GB2312" w:hAnsi="仿宋" w:eastAsia="仿宋_GB2312" w:cs="仿宋"/>
          <w:color w:val="FF0000"/>
          <w:sz w:val="28"/>
          <w:szCs w:val="28"/>
          <w:highlight w:val="none"/>
        </w:rPr>
        <w:t>.企业注册地不在四川省行政区域内的省外企业须提供在有效期内的四川省住房和城乡建设厅官网已公开的入川信息网页截图。</w:t>
      </w:r>
    </w:p>
    <w:p>
      <w:pPr>
        <w:pStyle w:val="85"/>
        <w:spacing w:line="480" w:lineRule="exact"/>
        <w:ind w:firstLine="560"/>
        <w:rPr>
          <w:rFonts w:ascii="仿宋_GB2312" w:hAnsi="仿宋_GB2312" w:eastAsia="仿宋_GB2312" w:cs="仿宋_GB2312"/>
          <w:color w:val="auto"/>
          <w:sz w:val="28"/>
          <w:szCs w:val="28"/>
          <w:highlight w:val="none"/>
        </w:rPr>
      </w:pPr>
      <w:r>
        <w:rPr>
          <w:rFonts w:hint="eastAsia" w:ascii="仿宋_GB2312" w:hAnsi="仿宋" w:eastAsia="仿宋_GB2312" w:cs="仿宋"/>
          <w:color w:val="auto"/>
          <w:sz w:val="28"/>
          <w:szCs w:val="28"/>
          <w:highlight w:val="none"/>
          <w:lang w:val="en-US" w:eastAsia="zh-CN"/>
        </w:rPr>
        <w:t>5</w:t>
      </w:r>
      <w:r>
        <w:rPr>
          <w:rFonts w:hint="eastAsia" w:ascii="仿宋_GB2312" w:hAnsi="仿宋" w:eastAsia="仿宋_GB2312" w:cs="仿宋"/>
          <w:color w:val="auto"/>
          <w:sz w:val="28"/>
          <w:szCs w:val="28"/>
          <w:highlight w:val="none"/>
        </w:rPr>
        <w:t>.本项目不接受联合体报名参与</w:t>
      </w:r>
      <w:r>
        <w:rPr>
          <w:rFonts w:hint="eastAsia" w:ascii="仿宋_GB2312" w:hAnsi="仿宋_GB2312" w:eastAsia="仿宋_GB2312" w:cs="仿宋_GB2312"/>
          <w:color w:val="auto"/>
          <w:sz w:val="28"/>
          <w:szCs w:val="28"/>
          <w:highlight w:val="none"/>
        </w:rPr>
        <w:t>。</w:t>
      </w:r>
    </w:p>
    <w:p>
      <w:pPr>
        <w:adjustRightInd w:val="0"/>
        <w:snapToGrid w:val="0"/>
        <w:spacing w:line="480" w:lineRule="exact"/>
        <w:ind w:firstLine="723" w:firstLineChars="200"/>
        <w:outlineLvl w:val="1"/>
        <w:rPr>
          <w:rFonts w:ascii="楷体_GB2312" w:hAnsi="楷体_GB2312" w:eastAsia="楷体_GB2312" w:cs="楷体_GB2312"/>
          <w:b/>
          <w:bCs/>
          <w:color w:val="auto"/>
          <w:sz w:val="36"/>
          <w:szCs w:val="36"/>
          <w:highlight w:val="none"/>
        </w:rPr>
      </w:pPr>
      <w:bookmarkStart w:id="26" w:name="_Toc16753"/>
      <w:bookmarkStart w:id="27" w:name="_Toc5537"/>
      <w:r>
        <w:rPr>
          <w:rFonts w:hint="eastAsia" w:ascii="楷体_GB2312" w:hAnsi="楷体_GB2312" w:eastAsia="楷体_GB2312" w:cs="楷体_GB2312"/>
          <w:b/>
          <w:bCs/>
          <w:color w:val="auto"/>
          <w:sz w:val="36"/>
          <w:szCs w:val="36"/>
          <w:highlight w:val="none"/>
        </w:rPr>
        <w:t>六、磋商文件获取方式、时间、地点</w:t>
      </w:r>
      <w:bookmarkEnd w:id="26"/>
      <w:bookmarkEnd w:id="27"/>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（一）项目公告期及报名时间：2023年</w:t>
      </w:r>
      <w:r>
        <w:rPr>
          <w:rFonts w:hint="eastAsia" w:ascii="仿宋_GB2312" w:hAnsi="仿宋" w:eastAsia="仿宋_GB2312" w:cs="仿宋"/>
          <w:color w:val="auto"/>
          <w:sz w:val="28"/>
          <w:szCs w:val="28"/>
          <w:highlight w:val="none"/>
          <w:lang w:val="en-US" w:eastAsia="zh-CN"/>
        </w:rPr>
        <w:t>11</w:t>
      </w:r>
      <w:r>
        <w:rPr>
          <w:rFonts w:hint="eastAsia" w:ascii="仿宋_GB2312" w:hAnsi="仿宋" w:eastAsia="仿宋_GB2312" w:cs="仿宋"/>
          <w:color w:val="auto"/>
          <w:sz w:val="28"/>
          <w:szCs w:val="28"/>
          <w:highlight w:val="none"/>
        </w:rPr>
        <w:t>月</w:t>
      </w:r>
      <w:r>
        <w:rPr>
          <w:rFonts w:hint="eastAsia" w:ascii="仿宋_GB2312" w:hAnsi="仿宋" w:eastAsia="仿宋_GB2312" w:cs="仿宋"/>
          <w:color w:val="auto"/>
          <w:sz w:val="28"/>
          <w:szCs w:val="28"/>
          <w:highlight w:val="none"/>
          <w:lang w:val="en-US" w:eastAsia="zh-CN"/>
        </w:rPr>
        <w:t>11</w:t>
      </w:r>
      <w:r>
        <w:rPr>
          <w:rFonts w:hint="eastAsia" w:ascii="仿宋_GB2312" w:hAnsi="仿宋" w:eastAsia="仿宋_GB2312" w:cs="仿宋"/>
          <w:color w:val="auto"/>
          <w:sz w:val="28"/>
          <w:szCs w:val="28"/>
          <w:highlight w:val="none"/>
        </w:rPr>
        <w:t>日9:00至2023年</w:t>
      </w:r>
      <w:r>
        <w:rPr>
          <w:rFonts w:hint="eastAsia" w:ascii="仿宋_GB2312" w:hAnsi="仿宋" w:eastAsia="仿宋_GB2312" w:cs="仿宋"/>
          <w:color w:val="auto"/>
          <w:sz w:val="28"/>
          <w:szCs w:val="28"/>
          <w:highlight w:val="none"/>
          <w:lang w:val="en-US" w:eastAsia="zh-CN"/>
        </w:rPr>
        <w:t>11</w:t>
      </w:r>
      <w:r>
        <w:rPr>
          <w:rFonts w:hint="eastAsia" w:ascii="仿宋_GB2312" w:hAnsi="仿宋" w:eastAsia="仿宋_GB2312" w:cs="仿宋"/>
          <w:color w:val="auto"/>
          <w:sz w:val="28"/>
          <w:szCs w:val="28"/>
          <w:highlight w:val="none"/>
        </w:rPr>
        <w:t>月</w:t>
      </w:r>
      <w:r>
        <w:rPr>
          <w:rFonts w:hint="eastAsia" w:ascii="仿宋_GB2312" w:hAnsi="仿宋" w:eastAsia="仿宋_GB2312" w:cs="仿宋"/>
          <w:color w:val="auto"/>
          <w:sz w:val="28"/>
          <w:szCs w:val="28"/>
          <w:highlight w:val="none"/>
          <w:lang w:val="en-US" w:eastAsia="zh-CN"/>
        </w:rPr>
        <w:t>13</w:t>
      </w:r>
      <w:r>
        <w:rPr>
          <w:rFonts w:hint="eastAsia" w:ascii="仿宋_GB2312" w:hAnsi="仿宋" w:eastAsia="仿宋_GB2312" w:cs="仿宋"/>
          <w:color w:val="auto"/>
          <w:sz w:val="28"/>
          <w:szCs w:val="28"/>
          <w:highlight w:val="none"/>
        </w:rPr>
        <w:t>日17:00（北京时间）。</w:t>
      </w:r>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（二）磋商文件获取方式：凡有意报名参与本项目的供应商，请于磋商文件获取时间内在</w:t>
      </w:r>
      <w:r>
        <w:rPr>
          <w:rFonts w:hint="eastAsia" w:ascii="仿宋_GB2312" w:hAnsi="仿宋" w:eastAsia="仿宋_GB2312" w:cs="仿宋"/>
          <w:color w:val="auto"/>
          <w:sz w:val="28"/>
          <w:szCs w:val="28"/>
          <w:highlight w:val="none"/>
          <w:lang w:eastAsia="zh-CN"/>
        </w:rPr>
        <w:t>广元市农业发展集团有限公司官网</w:t>
      </w:r>
      <w:r>
        <w:rPr>
          <w:rFonts w:hint="eastAsia" w:ascii="仿宋_GB2312" w:hAnsi="仿宋" w:eastAsia="仿宋_GB2312" w:cs="仿宋"/>
          <w:color w:val="auto"/>
          <w:sz w:val="28"/>
          <w:szCs w:val="28"/>
          <w:highlight w:val="none"/>
        </w:rPr>
        <w:t>（http://www.gynfjt.com/）获取。</w:t>
      </w:r>
    </w:p>
    <w:p>
      <w:pPr>
        <w:spacing w:line="480" w:lineRule="exact"/>
        <w:ind w:firstLine="723" w:firstLineChars="200"/>
        <w:outlineLvl w:val="1"/>
        <w:rPr>
          <w:rFonts w:ascii="楷体_GB2312" w:hAnsi="楷体_GB2312" w:eastAsia="楷体_GB2312" w:cs="楷体_GB2312"/>
          <w:b/>
          <w:bCs/>
          <w:color w:val="auto"/>
          <w:sz w:val="36"/>
          <w:szCs w:val="36"/>
          <w:highlight w:val="none"/>
        </w:rPr>
      </w:pPr>
      <w:bookmarkStart w:id="28" w:name="_Toc23775"/>
      <w:bookmarkStart w:id="29" w:name="_Toc21330"/>
      <w:r>
        <w:rPr>
          <w:rFonts w:hint="eastAsia" w:ascii="楷体_GB2312" w:hAnsi="楷体_GB2312" w:eastAsia="楷体_GB2312" w:cs="楷体_GB2312"/>
          <w:b/>
          <w:bCs/>
          <w:color w:val="auto"/>
          <w:sz w:val="36"/>
          <w:szCs w:val="36"/>
          <w:highlight w:val="none"/>
        </w:rPr>
        <w:t>七、递交响应文件接收和截止时间</w:t>
      </w:r>
      <w:bookmarkEnd w:id="28"/>
      <w:bookmarkEnd w:id="29"/>
    </w:p>
    <w:p>
      <w:pPr>
        <w:spacing w:line="480" w:lineRule="exact"/>
        <w:ind w:firstLine="560" w:firstLineChars="200"/>
        <w:rPr>
          <w:rFonts w:eastAsia="仿宋_GB2312"/>
          <w:color w:val="auto"/>
          <w:sz w:val="28"/>
          <w:highlight w:val="none"/>
        </w:rPr>
      </w:pPr>
      <w:r>
        <w:rPr>
          <w:rFonts w:eastAsia="仿宋_GB2312"/>
          <w:color w:val="auto"/>
          <w:sz w:val="28"/>
          <w:highlight w:val="none"/>
        </w:rPr>
        <w:t>响应文件接收时间：</w:t>
      </w:r>
      <w:r>
        <w:rPr>
          <w:rFonts w:hint="eastAsia" w:ascii="仿宋_GB2312" w:hAnsi="仿宋" w:eastAsia="仿宋_GB2312" w:cs="仿宋"/>
          <w:color w:val="auto"/>
          <w:sz w:val="28"/>
          <w:szCs w:val="28"/>
          <w:highlight w:val="none"/>
        </w:rPr>
        <w:t>202</w:t>
      </w:r>
      <w:r>
        <w:rPr>
          <w:rFonts w:hint="default" w:ascii="仿宋_GB2312" w:hAnsi="仿宋" w:eastAsia="仿宋_GB2312" w:cs="仿宋"/>
          <w:color w:val="auto"/>
          <w:sz w:val="28"/>
          <w:szCs w:val="28"/>
          <w:highlight w:val="none"/>
        </w:rPr>
        <w:t>3</w:t>
      </w:r>
      <w:r>
        <w:rPr>
          <w:rFonts w:hint="eastAsia" w:ascii="仿宋_GB2312" w:hAnsi="仿宋" w:eastAsia="仿宋_GB2312" w:cs="仿宋"/>
          <w:color w:val="auto"/>
          <w:sz w:val="28"/>
          <w:szCs w:val="28"/>
          <w:highlight w:val="none"/>
        </w:rPr>
        <w:t>年</w:t>
      </w:r>
      <w:r>
        <w:rPr>
          <w:rFonts w:hint="eastAsia" w:ascii="仿宋_GB2312" w:hAnsi="仿宋" w:eastAsia="仿宋_GB2312" w:cs="仿宋"/>
          <w:color w:val="auto"/>
          <w:sz w:val="28"/>
          <w:szCs w:val="28"/>
          <w:highlight w:val="none"/>
          <w:lang w:val="en-US" w:eastAsia="zh-CN"/>
        </w:rPr>
        <w:t>11</w:t>
      </w:r>
      <w:r>
        <w:rPr>
          <w:rFonts w:hint="default" w:ascii="仿宋_GB2312" w:hAnsi="仿宋" w:eastAsia="仿宋_GB2312" w:cs="仿宋"/>
          <w:color w:val="auto"/>
          <w:sz w:val="28"/>
          <w:szCs w:val="28"/>
          <w:highlight w:val="none"/>
        </w:rPr>
        <w:t>月</w:t>
      </w:r>
      <w:r>
        <w:rPr>
          <w:rFonts w:hint="eastAsia" w:ascii="仿宋_GB2312" w:hAnsi="仿宋" w:eastAsia="仿宋_GB2312" w:cs="仿宋"/>
          <w:color w:val="auto"/>
          <w:sz w:val="28"/>
          <w:szCs w:val="28"/>
          <w:highlight w:val="none"/>
          <w:lang w:val="en-US" w:eastAsia="zh-CN"/>
        </w:rPr>
        <w:t>14</w:t>
      </w:r>
      <w:r>
        <w:rPr>
          <w:rFonts w:hint="eastAsia" w:ascii="仿宋_GB2312" w:hAnsi="仿宋" w:eastAsia="仿宋_GB2312" w:cs="仿宋"/>
          <w:color w:val="auto"/>
          <w:sz w:val="28"/>
          <w:szCs w:val="28"/>
          <w:highlight w:val="none"/>
        </w:rPr>
        <w:t>日</w:t>
      </w:r>
      <w:r>
        <w:rPr>
          <w:rFonts w:hint="eastAsia" w:ascii="仿宋_GB2312" w:hAnsi="仿宋" w:eastAsia="仿宋_GB2312" w:cs="仿宋"/>
          <w:color w:val="auto"/>
          <w:sz w:val="28"/>
          <w:szCs w:val="28"/>
          <w:highlight w:val="none"/>
          <w:lang w:val="en-US" w:eastAsia="zh-CN"/>
        </w:rPr>
        <w:t>8</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val="en-US" w:eastAsia="zh-CN"/>
        </w:rPr>
        <w:t>3</w:t>
      </w:r>
      <w:r>
        <w:rPr>
          <w:rFonts w:hint="eastAsia" w:ascii="仿宋_GB2312" w:hAnsi="仿宋" w:eastAsia="仿宋_GB2312" w:cs="仿宋"/>
          <w:color w:val="auto"/>
          <w:sz w:val="28"/>
          <w:szCs w:val="28"/>
          <w:highlight w:val="none"/>
        </w:rPr>
        <w:t>0-</w:t>
      </w:r>
      <w:r>
        <w:rPr>
          <w:rFonts w:hint="eastAsia" w:ascii="仿宋_GB2312" w:hAnsi="仿宋" w:eastAsia="仿宋_GB2312" w:cs="仿宋"/>
          <w:color w:val="auto"/>
          <w:sz w:val="28"/>
          <w:szCs w:val="28"/>
          <w:highlight w:val="none"/>
          <w:lang w:val="en-US" w:eastAsia="zh-CN"/>
        </w:rPr>
        <w:t>9</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val="en-US" w:eastAsia="zh-CN"/>
        </w:rPr>
        <w:t>3</w:t>
      </w:r>
      <w:r>
        <w:rPr>
          <w:rFonts w:hint="eastAsia" w:ascii="仿宋_GB2312" w:hAnsi="仿宋" w:eastAsia="仿宋_GB2312" w:cs="仿宋"/>
          <w:color w:val="auto"/>
          <w:sz w:val="28"/>
          <w:szCs w:val="28"/>
          <w:highlight w:val="none"/>
        </w:rPr>
        <w:t>0</w:t>
      </w:r>
      <w:r>
        <w:rPr>
          <w:rFonts w:eastAsia="仿宋_GB2312"/>
          <w:color w:val="auto"/>
          <w:sz w:val="28"/>
          <w:highlight w:val="none"/>
        </w:rPr>
        <w:t>（北京时间）。</w:t>
      </w:r>
    </w:p>
    <w:p>
      <w:pPr>
        <w:spacing w:line="480" w:lineRule="exact"/>
        <w:ind w:firstLine="560" w:firstLineChars="200"/>
        <w:rPr>
          <w:rFonts w:ascii="仿宋_GB2312" w:hAnsi="仿宋_GB2312" w:eastAsia="仿宋_GB2312" w:cs="仿宋_GB2312"/>
          <w:color w:val="auto"/>
          <w:sz w:val="28"/>
          <w:szCs w:val="28"/>
          <w:highlight w:val="none"/>
        </w:rPr>
      </w:pPr>
      <w:r>
        <w:rPr>
          <w:rFonts w:eastAsia="仿宋_GB2312"/>
          <w:color w:val="auto"/>
          <w:sz w:val="28"/>
          <w:highlight w:val="none"/>
        </w:rPr>
        <w:t>递交响应文件截止时间：</w:t>
      </w:r>
      <w:r>
        <w:rPr>
          <w:rFonts w:hint="eastAsia" w:ascii="仿宋_GB2312" w:hAnsi="仿宋" w:eastAsia="仿宋_GB2312" w:cs="仿宋"/>
          <w:color w:val="auto"/>
          <w:sz w:val="28"/>
          <w:szCs w:val="28"/>
          <w:highlight w:val="none"/>
        </w:rPr>
        <w:t>2023年</w:t>
      </w:r>
      <w:r>
        <w:rPr>
          <w:rFonts w:hint="eastAsia" w:ascii="仿宋_GB2312" w:hAnsi="仿宋" w:eastAsia="仿宋_GB2312" w:cs="仿宋"/>
          <w:color w:val="auto"/>
          <w:sz w:val="28"/>
          <w:szCs w:val="28"/>
          <w:highlight w:val="none"/>
          <w:lang w:val="en-US" w:eastAsia="zh-CN"/>
        </w:rPr>
        <w:t>去11</w:t>
      </w:r>
      <w:r>
        <w:rPr>
          <w:rFonts w:hint="eastAsia" w:ascii="仿宋_GB2312" w:hAnsi="仿宋" w:eastAsia="仿宋_GB2312" w:cs="仿宋"/>
          <w:color w:val="auto"/>
          <w:sz w:val="28"/>
          <w:szCs w:val="28"/>
          <w:highlight w:val="none"/>
        </w:rPr>
        <w:t>月</w:t>
      </w:r>
      <w:r>
        <w:rPr>
          <w:rFonts w:hint="eastAsia" w:ascii="仿宋_GB2312" w:hAnsi="仿宋" w:eastAsia="仿宋_GB2312" w:cs="仿宋"/>
          <w:color w:val="auto"/>
          <w:sz w:val="28"/>
          <w:szCs w:val="28"/>
          <w:highlight w:val="none"/>
          <w:lang w:val="en-US" w:eastAsia="zh-CN"/>
        </w:rPr>
        <w:t>14</w:t>
      </w:r>
      <w:r>
        <w:rPr>
          <w:rFonts w:hint="eastAsia" w:ascii="仿宋_GB2312" w:hAnsi="仿宋" w:eastAsia="仿宋_GB2312" w:cs="仿宋"/>
          <w:color w:val="auto"/>
          <w:sz w:val="28"/>
          <w:szCs w:val="28"/>
          <w:highlight w:val="none"/>
        </w:rPr>
        <w:t>日</w:t>
      </w:r>
      <w:r>
        <w:rPr>
          <w:rFonts w:hint="eastAsia" w:ascii="仿宋_GB2312" w:hAnsi="仿宋" w:eastAsia="仿宋_GB2312" w:cs="仿宋"/>
          <w:color w:val="auto"/>
          <w:sz w:val="28"/>
          <w:szCs w:val="28"/>
          <w:highlight w:val="none"/>
          <w:lang w:val="en-US" w:eastAsia="zh-CN"/>
        </w:rPr>
        <w:t>9</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val="en-US" w:eastAsia="zh-CN"/>
        </w:rPr>
        <w:t>3</w:t>
      </w:r>
      <w:r>
        <w:rPr>
          <w:rFonts w:hint="eastAsia" w:ascii="仿宋_GB2312" w:hAnsi="仿宋" w:eastAsia="仿宋_GB2312" w:cs="仿宋"/>
          <w:color w:val="auto"/>
          <w:sz w:val="28"/>
          <w:szCs w:val="28"/>
          <w:highlight w:val="none"/>
        </w:rPr>
        <w:t>0</w:t>
      </w:r>
      <w:r>
        <w:rPr>
          <w:rFonts w:ascii="Times New Roman" w:hAnsi="Times New Roman" w:eastAsia="仿宋_GB2312"/>
          <w:color w:val="auto"/>
          <w:sz w:val="28"/>
          <w:highlight w:val="none"/>
        </w:rPr>
        <w:t>（</w:t>
      </w:r>
      <w:r>
        <w:rPr>
          <w:rFonts w:hint="eastAsia" w:ascii="仿宋_GB2312" w:hAnsi="仿宋_GB2312" w:eastAsia="仿宋_GB2312" w:cs="仿宋_GB2312"/>
          <w:color w:val="auto"/>
          <w:sz w:val="28"/>
          <w:szCs w:val="28"/>
          <w:highlight w:val="none"/>
        </w:rPr>
        <w:t>北京时间）。</w:t>
      </w:r>
    </w:p>
    <w:p>
      <w:pPr>
        <w:spacing w:line="480" w:lineRule="exact"/>
        <w:ind w:firstLine="723" w:firstLineChars="200"/>
        <w:outlineLvl w:val="1"/>
        <w:rPr>
          <w:rFonts w:ascii="楷体_GB2312" w:hAnsi="楷体_GB2312" w:eastAsia="楷体_GB2312" w:cs="楷体_GB2312"/>
          <w:b/>
          <w:bCs/>
          <w:color w:val="auto"/>
          <w:sz w:val="36"/>
          <w:szCs w:val="36"/>
          <w:highlight w:val="none"/>
        </w:rPr>
      </w:pPr>
      <w:bookmarkStart w:id="30" w:name="_Toc1378"/>
      <w:bookmarkStart w:id="31" w:name="_Toc5977"/>
      <w:r>
        <w:rPr>
          <w:rFonts w:hint="eastAsia" w:ascii="楷体_GB2312" w:hAnsi="楷体_GB2312" w:eastAsia="楷体_GB2312" w:cs="楷体_GB2312"/>
          <w:b/>
          <w:bCs/>
          <w:color w:val="auto"/>
          <w:sz w:val="36"/>
          <w:szCs w:val="36"/>
          <w:highlight w:val="none"/>
        </w:rPr>
        <w:t>八、递交响应文件地点</w:t>
      </w:r>
      <w:bookmarkEnd w:id="30"/>
      <w:bookmarkEnd w:id="31"/>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响应文件必须在递交响应文件截止时间前送达磋商地点。逾期送达、密封和标注错误的响应文件，恕不接收。</w:t>
      </w:r>
    </w:p>
    <w:p>
      <w:pPr>
        <w:numPr>
          <w:ilvl w:val="0"/>
          <w:numId w:val="2"/>
        </w:numPr>
        <w:spacing w:line="480" w:lineRule="exact"/>
        <w:ind w:firstLine="723" w:firstLineChars="200"/>
        <w:outlineLvl w:val="1"/>
        <w:rPr>
          <w:rFonts w:hint="eastAsia" w:ascii="楷体_GB2312" w:hAnsi="楷体_GB2312" w:eastAsia="楷体_GB2312" w:cs="楷体_GB2312"/>
          <w:b/>
          <w:bCs/>
          <w:color w:val="auto"/>
          <w:sz w:val="36"/>
          <w:szCs w:val="36"/>
          <w:highlight w:val="none"/>
          <w:lang w:eastAsia="zh-CN"/>
        </w:rPr>
      </w:pPr>
      <w:bookmarkStart w:id="32" w:name="_Toc1355"/>
      <w:bookmarkStart w:id="33" w:name="_Toc16576"/>
      <w:r>
        <w:rPr>
          <w:rFonts w:hint="eastAsia" w:ascii="楷体_GB2312" w:hAnsi="楷体_GB2312" w:eastAsia="楷体_GB2312" w:cs="楷体_GB2312"/>
          <w:b/>
          <w:bCs/>
          <w:color w:val="auto"/>
          <w:sz w:val="36"/>
          <w:szCs w:val="36"/>
          <w:highlight w:val="none"/>
        </w:rPr>
        <w:t>磋商地点</w:t>
      </w:r>
      <w:bookmarkEnd w:id="32"/>
      <w:bookmarkEnd w:id="33"/>
      <w:r>
        <w:rPr>
          <w:rFonts w:hint="eastAsia" w:ascii="楷体_GB2312" w:hAnsi="楷体_GB2312" w:eastAsia="楷体_GB2312" w:cs="楷体_GB2312"/>
          <w:b/>
          <w:bCs/>
          <w:color w:val="auto"/>
          <w:sz w:val="36"/>
          <w:szCs w:val="36"/>
          <w:highlight w:val="none"/>
          <w:lang w:eastAsia="zh-CN"/>
        </w:rPr>
        <w:t>、时间</w:t>
      </w:r>
    </w:p>
    <w:p>
      <w:pPr>
        <w:pStyle w:val="2"/>
        <w:numPr>
          <w:ilvl w:val="0"/>
          <w:numId w:val="0"/>
        </w:numPr>
        <w:ind w:firstLine="840" w:firstLineChars="300"/>
        <w:rPr>
          <w:rFonts w:hint="eastAsia"/>
          <w:lang w:eastAsia="zh-CN"/>
        </w:rPr>
      </w:pPr>
      <w:r>
        <w:rPr>
          <w:rFonts w:hint="eastAsia" w:ascii="仿宋_GB2312" w:hAnsi="仿宋" w:eastAsia="仿宋_GB2312" w:cs="仿宋"/>
          <w:color w:val="auto"/>
          <w:sz w:val="28"/>
          <w:szCs w:val="28"/>
          <w:highlight w:val="none"/>
          <w:lang w:eastAsia="zh-CN"/>
        </w:rPr>
        <w:t>磋商时间：</w:t>
      </w:r>
      <w:r>
        <w:rPr>
          <w:rFonts w:hint="eastAsia" w:ascii="仿宋_GB2312" w:hAnsi="仿宋" w:eastAsia="仿宋_GB2312" w:cs="仿宋"/>
          <w:color w:val="auto"/>
          <w:sz w:val="28"/>
          <w:szCs w:val="28"/>
          <w:highlight w:val="none"/>
        </w:rPr>
        <w:t>2023年</w:t>
      </w:r>
      <w:r>
        <w:rPr>
          <w:rFonts w:hint="eastAsia" w:ascii="仿宋_GB2312" w:hAnsi="仿宋" w:eastAsia="仿宋_GB2312" w:cs="仿宋"/>
          <w:color w:val="auto"/>
          <w:sz w:val="28"/>
          <w:szCs w:val="28"/>
          <w:highlight w:val="none"/>
          <w:lang w:val="en-US" w:eastAsia="zh-CN"/>
        </w:rPr>
        <w:t>11</w:t>
      </w:r>
      <w:r>
        <w:rPr>
          <w:rFonts w:hint="eastAsia" w:ascii="仿宋_GB2312" w:hAnsi="仿宋" w:eastAsia="仿宋_GB2312" w:cs="仿宋"/>
          <w:color w:val="auto"/>
          <w:sz w:val="28"/>
          <w:szCs w:val="28"/>
          <w:highlight w:val="none"/>
        </w:rPr>
        <w:t>月</w:t>
      </w:r>
      <w:r>
        <w:rPr>
          <w:rFonts w:hint="eastAsia" w:ascii="仿宋_GB2312" w:hAnsi="仿宋" w:eastAsia="仿宋_GB2312" w:cs="仿宋"/>
          <w:color w:val="auto"/>
          <w:sz w:val="28"/>
          <w:szCs w:val="28"/>
          <w:highlight w:val="none"/>
          <w:lang w:val="en-US" w:eastAsia="zh-CN"/>
        </w:rPr>
        <w:t>14</w:t>
      </w:r>
      <w:r>
        <w:rPr>
          <w:rFonts w:hint="eastAsia" w:ascii="仿宋_GB2312" w:hAnsi="仿宋" w:eastAsia="仿宋_GB2312" w:cs="仿宋"/>
          <w:color w:val="auto"/>
          <w:sz w:val="28"/>
          <w:szCs w:val="28"/>
          <w:highlight w:val="none"/>
        </w:rPr>
        <w:t>日</w:t>
      </w:r>
      <w:r>
        <w:rPr>
          <w:rFonts w:hint="eastAsia" w:ascii="仿宋_GB2312" w:hAnsi="仿宋" w:eastAsia="仿宋_GB2312" w:cs="仿宋"/>
          <w:color w:val="auto"/>
          <w:sz w:val="28"/>
          <w:szCs w:val="28"/>
          <w:highlight w:val="none"/>
          <w:lang w:val="en-US" w:eastAsia="zh-CN"/>
        </w:rPr>
        <w:t>10</w:t>
      </w:r>
      <w:r>
        <w:rPr>
          <w:rFonts w:hint="eastAsia" w:ascii="仿宋_GB2312" w:hAnsi="仿宋" w:eastAsia="仿宋_GB2312" w:cs="仿宋"/>
          <w:color w:val="auto"/>
          <w:sz w:val="28"/>
          <w:szCs w:val="28"/>
          <w:highlight w:val="none"/>
        </w:rPr>
        <w:t>:</w:t>
      </w:r>
      <w:r>
        <w:rPr>
          <w:rFonts w:hint="eastAsia" w:ascii="仿宋_GB2312" w:hAnsi="仿宋" w:eastAsia="仿宋_GB2312" w:cs="仿宋"/>
          <w:color w:val="auto"/>
          <w:sz w:val="28"/>
          <w:szCs w:val="28"/>
          <w:highlight w:val="none"/>
          <w:lang w:val="en-US" w:eastAsia="zh-CN"/>
        </w:rPr>
        <w:t>0</w:t>
      </w:r>
      <w:r>
        <w:rPr>
          <w:rFonts w:hint="eastAsia" w:ascii="仿宋_GB2312" w:hAnsi="仿宋" w:eastAsia="仿宋_GB2312" w:cs="仿宋"/>
          <w:color w:val="auto"/>
          <w:sz w:val="28"/>
          <w:szCs w:val="28"/>
          <w:highlight w:val="none"/>
        </w:rPr>
        <w:t>0</w:t>
      </w:r>
      <w:r>
        <w:rPr>
          <w:rFonts w:ascii="Times New Roman" w:hAnsi="Times New Roman" w:eastAsia="仿宋_GB2312"/>
          <w:color w:val="auto"/>
          <w:sz w:val="28"/>
          <w:highlight w:val="none"/>
        </w:rPr>
        <w:t>（</w:t>
      </w:r>
      <w:r>
        <w:rPr>
          <w:rFonts w:hint="eastAsia" w:ascii="仿宋_GB2312" w:hAnsi="仿宋_GB2312" w:eastAsia="仿宋_GB2312" w:cs="仿宋_GB2312"/>
          <w:color w:val="auto"/>
          <w:sz w:val="28"/>
          <w:szCs w:val="28"/>
          <w:highlight w:val="none"/>
        </w:rPr>
        <w:t>北京时间）</w:t>
      </w:r>
    </w:p>
    <w:p>
      <w:pPr>
        <w:spacing w:line="48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四川省广元市</w:t>
      </w:r>
      <w:r>
        <w:rPr>
          <w:rFonts w:hint="eastAsia" w:ascii="仿宋_GB2312" w:hAnsi="仿宋_GB2312" w:eastAsia="仿宋_GB2312" w:cs="仿宋_GB2312"/>
          <w:color w:val="auto"/>
          <w:sz w:val="28"/>
          <w:szCs w:val="28"/>
          <w:highlight w:val="none"/>
          <w:lang w:eastAsia="zh-CN"/>
        </w:rPr>
        <w:t>利州区下西街道万盛路工贸家世界</w:t>
      </w:r>
      <w:r>
        <w:rPr>
          <w:rFonts w:hint="eastAsia" w:ascii="仿宋_GB2312" w:hAnsi="仿宋_GB2312" w:eastAsia="仿宋_GB2312" w:cs="仿宋_GB2312"/>
          <w:color w:val="auto"/>
          <w:sz w:val="28"/>
          <w:szCs w:val="28"/>
          <w:highlight w:val="none"/>
          <w:lang w:val="en-US" w:eastAsia="zh-CN"/>
        </w:rPr>
        <w:t>2号楼22楼</w:t>
      </w:r>
      <w:r>
        <w:rPr>
          <w:rFonts w:hint="eastAsia" w:ascii="仿宋_GB2312" w:hAnsi="仿宋_GB2312" w:eastAsia="仿宋_GB2312" w:cs="仿宋_GB2312"/>
          <w:color w:val="auto"/>
          <w:sz w:val="28"/>
          <w:szCs w:val="28"/>
          <w:highlight w:val="none"/>
        </w:rPr>
        <w:t>。</w:t>
      </w:r>
    </w:p>
    <w:p>
      <w:pPr>
        <w:snapToGrid w:val="0"/>
        <w:spacing w:line="480" w:lineRule="exact"/>
        <w:ind w:firstLine="723"/>
        <w:jc w:val="left"/>
        <w:textAlignment w:val="baseline"/>
        <w:outlineLvl w:val="1"/>
        <w:rPr>
          <w:rFonts w:hint="eastAsia" w:ascii="楷体_GB2312" w:hAnsi="楷体_GB2312" w:eastAsia="楷体_GB2312" w:cs="楷体_GB2312"/>
          <w:b/>
          <w:bCs/>
          <w:color w:val="auto"/>
          <w:sz w:val="36"/>
          <w:szCs w:val="36"/>
          <w:highlight w:val="none"/>
          <w:lang w:eastAsia="zh-CN"/>
        </w:rPr>
      </w:pPr>
      <w:r>
        <w:rPr>
          <w:rFonts w:hint="eastAsia" w:ascii="楷体_GB2312" w:hAnsi="楷体_GB2312" w:eastAsia="楷体_GB2312" w:cs="楷体_GB2312"/>
          <w:b/>
          <w:bCs/>
          <w:color w:val="auto"/>
          <w:sz w:val="36"/>
          <w:szCs w:val="36"/>
          <w:highlight w:val="none"/>
          <w:lang w:eastAsia="zh-CN"/>
        </w:rPr>
        <w:t>十、联系方式</w:t>
      </w:r>
    </w:p>
    <w:p>
      <w:pPr>
        <w:pStyle w:val="85"/>
        <w:snapToGrid w:val="0"/>
        <w:spacing w:line="480" w:lineRule="exact"/>
        <w:ind w:firstLine="562"/>
        <w:jc w:val="left"/>
        <w:textAlignment w:val="baseline"/>
        <w:rPr>
          <w:rFonts w:ascii="仿宋_GB2312" w:hAnsi="仿宋_GB2312" w:eastAsia="仿宋_GB2312" w:cs="仿宋_GB2312"/>
          <w:color w:val="FF0000"/>
          <w:sz w:val="28"/>
          <w:szCs w:val="28"/>
          <w:highlight w:val="none"/>
          <w:lang w:eastAsia="zh-CN"/>
        </w:rPr>
      </w:pPr>
      <w:r>
        <w:rPr>
          <w:rFonts w:hint="eastAsia" w:ascii="仿宋" w:hAnsi="仿宋" w:eastAsia="仿宋" w:cs="仿宋"/>
          <w:b/>
          <w:color w:val="FF0000"/>
          <w:sz w:val="28"/>
          <w:szCs w:val="28"/>
          <w:highlight w:val="none"/>
          <w:lang w:eastAsia="zh-CN"/>
        </w:rPr>
        <w:t>采 购 人</w:t>
      </w:r>
      <w:r>
        <w:rPr>
          <w:rFonts w:hint="eastAsia" w:ascii="仿宋" w:hAnsi="仿宋" w:eastAsia="仿宋" w:cs="仿宋"/>
          <w:bCs/>
          <w:color w:val="FF0000"/>
          <w:sz w:val="28"/>
          <w:szCs w:val="28"/>
          <w:highlight w:val="none"/>
          <w:lang w:eastAsia="zh-CN"/>
        </w:rPr>
        <w:t>：</w:t>
      </w:r>
      <w:r>
        <w:rPr>
          <w:rFonts w:hint="eastAsia" w:ascii="仿宋_GB2312" w:hAnsi="仿宋_GB2312" w:eastAsia="仿宋_GB2312" w:cs="仿宋_GB2312"/>
          <w:bCs w:val="0"/>
          <w:color w:val="FF0000"/>
          <w:sz w:val="28"/>
          <w:szCs w:val="28"/>
          <w:highlight w:val="none"/>
          <w:lang w:val="en-US" w:eastAsia="zh-CN"/>
        </w:rPr>
        <w:t xml:space="preserve"> 广元市农业发展集团有限公司</w:t>
      </w:r>
    </w:p>
    <w:p>
      <w:pPr>
        <w:pStyle w:val="85"/>
        <w:snapToGrid w:val="0"/>
        <w:spacing w:line="480" w:lineRule="exact"/>
        <w:ind w:firstLine="560"/>
        <w:jc w:val="left"/>
        <w:textAlignment w:val="baseline"/>
        <w:rPr>
          <w:rFonts w:ascii="仿宋_GB2312" w:hAnsi="仿宋_GB2312" w:eastAsia="仿宋_GB2312" w:cs="仿宋_GB2312"/>
          <w:color w:val="FF0000"/>
          <w:sz w:val="28"/>
          <w:szCs w:val="28"/>
          <w:highlight w:val="none"/>
          <w:lang w:eastAsia="zh-CN"/>
        </w:rPr>
      </w:pPr>
      <w:r>
        <w:rPr>
          <w:rFonts w:ascii="仿宋_GB2312" w:hAnsi="仿宋_GB2312" w:eastAsia="仿宋_GB2312" w:cs="仿宋_GB2312"/>
          <w:color w:val="FF0000"/>
          <w:sz w:val="28"/>
          <w:szCs w:val="28"/>
          <w:highlight w:val="none"/>
          <w:lang w:eastAsia="zh-CN"/>
        </w:rPr>
        <w:t>通讯地址：</w:t>
      </w:r>
      <w:r>
        <w:rPr>
          <w:rFonts w:hint="eastAsia" w:ascii="仿宋_GB2312" w:hAnsi="仿宋_GB2312" w:eastAsia="仿宋_GB2312" w:cs="仿宋_GB2312"/>
          <w:color w:val="FF0000"/>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四川省广元市</w:t>
      </w:r>
      <w:r>
        <w:rPr>
          <w:rFonts w:hint="eastAsia" w:ascii="仿宋_GB2312" w:hAnsi="仿宋_GB2312" w:eastAsia="仿宋_GB2312" w:cs="仿宋_GB2312"/>
          <w:color w:val="auto"/>
          <w:sz w:val="28"/>
          <w:szCs w:val="28"/>
          <w:highlight w:val="none"/>
          <w:lang w:eastAsia="zh-CN"/>
        </w:rPr>
        <w:t>利州区下西街道万盛路工贸家世界</w:t>
      </w:r>
      <w:r>
        <w:rPr>
          <w:rFonts w:hint="eastAsia" w:ascii="仿宋_GB2312" w:hAnsi="仿宋_GB2312" w:eastAsia="仿宋_GB2312" w:cs="仿宋_GB2312"/>
          <w:color w:val="auto"/>
          <w:sz w:val="28"/>
          <w:szCs w:val="28"/>
          <w:highlight w:val="none"/>
          <w:lang w:val="en-US" w:eastAsia="zh-CN"/>
        </w:rPr>
        <w:t>2号楼</w:t>
      </w:r>
    </w:p>
    <w:p>
      <w:pPr>
        <w:pStyle w:val="85"/>
        <w:snapToGrid w:val="0"/>
        <w:spacing w:line="460" w:lineRule="exact"/>
        <w:ind w:firstLine="560"/>
        <w:jc w:val="left"/>
        <w:textAlignment w:val="baseline"/>
        <w:rPr>
          <w:rFonts w:ascii="仿宋_GB2312" w:hAnsi="仿宋_GB2312" w:eastAsia="仿宋_GB2312" w:cs="仿宋_GB2312"/>
          <w:color w:val="FF0000"/>
          <w:sz w:val="28"/>
          <w:szCs w:val="28"/>
          <w:highlight w:val="none"/>
          <w:lang w:eastAsia="zh-CN"/>
        </w:rPr>
      </w:pPr>
      <w:r>
        <w:rPr>
          <w:rFonts w:hint="eastAsia" w:ascii="仿宋_GB2312" w:hAnsi="仿宋_GB2312" w:eastAsia="仿宋_GB2312" w:cs="仿宋_GB2312"/>
          <w:color w:val="FF0000"/>
          <w:sz w:val="28"/>
          <w:szCs w:val="28"/>
          <w:highlight w:val="none"/>
          <w:lang w:eastAsia="zh-CN"/>
        </w:rPr>
        <w:t>邮    编：</w:t>
      </w:r>
      <w:r>
        <w:rPr>
          <w:rFonts w:hint="eastAsia" w:ascii="仿宋_GB2312" w:hAnsi="仿宋_GB2312" w:eastAsia="仿宋_GB2312" w:cs="仿宋_GB2312"/>
          <w:color w:val="FF0000"/>
          <w:sz w:val="28"/>
          <w:szCs w:val="28"/>
          <w:highlight w:val="none"/>
          <w:lang w:val="en-US" w:eastAsia="zh-CN"/>
        </w:rPr>
        <w:t xml:space="preserve">628000 </w:t>
      </w:r>
    </w:p>
    <w:p>
      <w:pPr>
        <w:widowControl/>
        <w:spacing w:line="460" w:lineRule="exact"/>
        <w:ind w:firstLine="560" w:firstLineChars="200"/>
        <w:rPr>
          <w:rFonts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联 系 人：</w:t>
      </w:r>
      <w:r>
        <w:rPr>
          <w:rFonts w:hint="eastAsia" w:ascii="仿宋_GB2312" w:hAnsi="仿宋_GB2312" w:eastAsia="仿宋_GB2312" w:cs="仿宋_GB2312"/>
          <w:color w:val="FF0000"/>
          <w:sz w:val="28"/>
          <w:szCs w:val="28"/>
          <w:highlight w:val="none"/>
          <w:lang w:val="en-US" w:eastAsia="zh-CN"/>
        </w:rPr>
        <w:t xml:space="preserve"> 黎</w:t>
      </w:r>
      <w:r>
        <w:rPr>
          <w:rFonts w:hint="eastAsia" w:ascii="仿宋_GB2312" w:hAnsi="仿宋_GB2312" w:eastAsia="仿宋_GB2312" w:cs="仿宋_GB2312"/>
          <w:color w:val="FF0000"/>
          <w:sz w:val="28"/>
          <w:szCs w:val="28"/>
          <w:highlight w:val="none"/>
        </w:rPr>
        <w:t>先生</w:t>
      </w:r>
    </w:p>
    <w:p>
      <w:pPr>
        <w:pStyle w:val="85"/>
        <w:snapToGrid w:val="0"/>
        <w:spacing w:line="480" w:lineRule="exact"/>
        <w:ind w:firstLine="560"/>
        <w:jc w:val="left"/>
        <w:textAlignment w:val="baseline"/>
        <w:rPr>
          <w:rFonts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FF0000"/>
          <w:sz w:val="28"/>
          <w:szCs w:val="28"/>
          <w:highlight w:val="none"/>
        </w:rPr>
        <w:t>联系电话：</w:t>
      </w:r>
      <w:r>
        <w:rPr>
          <w:rFonts w:hint="eastAsia" w:ascii="仿宋_GB2312" w:hAnsi="仿宋_GB2312" w:eastAsia="仿宋_GB2312" w:cs="仿宋_GB2312"/>
          <w:color w:val="FF0000"/>
          <w:sz w:val="28"/>
          <w:szCs w:val="28"/>
          <w:highlight w:val="none"/>
          <w:lang w:val="en-US" w:eastAsia="zh-CN"/>
        </w:rPr>
        <w:t xml:space="preserve">13881287172 </w:t>
      </w:r>
      <w:r>
        <w:rPr>
          <w:rFonts w:hint="eastAsia" w:ascii="仿宋_GB2312" w:hAnsi="仿宋_GB2312" w:eastAsia="仿宋_GB2312" w:cs="仿宋_GB2312"/>
          <w:color w:val="FF0000"/>
          <w:sz w:val="28"/>
          <w:szCs w:val="28"/>
          <w:highlight w:val="none"/>
          <w:lang w:eastAsia="zh-CN"/>
        </w:rPr>
        <w:t xml:space="preserve"> </w:t>
      </w:r>
      <w:r>
        <w:rPr>
          <w:rFonts w:hint="eastAsia" w:ascii="仿宋_GB2312" w:hAnsi="仿宋_GB2312" w:eastAsia="仿宋_GB2312" w:cs="仿宋_GB2312"/>
          <w:color w:val="auto"/>
          <w:sz w:val="28"/>
          <w:szCs w:val="28"/>
          <w:highlight w:val="none"/>
          <w:lang w:eastAsia="zh-CN"/>
        </w:rPr>
        <w:t xml:space="preserve">               </w:t>
      </w:r>
    </w:p>
    <w:p>
      <w:pPr>
        <w:pStyle w:val="2"/>
        <w:snapToGrid w:val="0"/>
        <w:textAlignment w:val="baseline"/>
        <w:rPr>
          <w:rFonts w:ascii="仿宋_GB2312" w:hAnsi="仿宋_GB2312" w:eastAsia="仿宋_GB2312" w:cs="仿宋_GB2312"/>
          <w:color w:val="auto"/>
          <w:sz w:val="28"/>
          <w:szCs w:val="28"/>
          <w:highlight w:val="none"/>
        </w:rPr>
      </w:pPr>
      <w:bookmarkStart w:id="1002" w:name="_GoBack"/>
      <w:bookmarkEnd w:id="1002"/>
    </w:p>
    <w:p>
      <w:pPr>
        <w:rPr>
          <w:rFonts w:ascii="仿宋_GB2312" w:hAnsi="仿宋_GB2312" w:eastAsia="仿宋_GB2312" w:cs="仿宋_GB2312"/>
          <w:color w:val="auto"/>
          <w:sz w:val="28"/>
          <w:szCs w:val="28"/>
          <w:highlight w:val="none"/>
        </w:rPr>
      </w:pPr>
      <w:bookmarkStart w:id="34" w:name="_Toc42014951"/>
      <w:bookmarkStart w:id="35" w:name="_Toc5763"/>
      <w:bookmarkStart w:id="36" w:name="_Toc17339"/>
      <w:bookmarkStart w:id="37" w:name="_Toc18274"/>
      <w:bookmarkStart w:id="38" w:name="_Toc22671"/>
      <w:bookmarkStart w:id="39" w:name="_Toc9125"/>
      <w:bookmarkStart w:id="40" w:name="_Toc1534"/>
      <w:bookmarkStart w:id="41" w:name="_Toc42015016"/>
      <w:bookmarkStart w:id="42" w:name="_Toc23343"/>
      <w:bookmarkStart w:id="43" w:name="_Toc23995"/>
      <w:bookmarkStart w:id="44" w:name="_Toc22488"/>
      <w:bookmarkStart w:id="45" w:name="_Toc26531"/>
      <w:bookmarkStart w:id="46" w:name="_Toc3533"/>
      <w:bookmarkStart w:id="47" w:name="_Toc42015217"/>
      <w:bookmarkStart w:id="48" w:name="_Toc7086"/>
      <w:r>
        <w:rPr>
          <w:rFonts w:ascii="仿宋_GB2312" w:hAnsi="仿宋_GB2312" w:eastAsia="仿宋_GB2312" w:cs="仿宋_GB2312"/>
          <w:color w:val="auto"/>
          <w:sz w:val="28"/>
          <w:szCs w:val="28"/>
          <w:highlight w:val="none"/>
        </w:rPr>
        <w:br w:type="page"/>
      </w:r>
    </w:p>
    <w:p>
      <w:pPr>
        <w:pStyle w:val="3"/>
        <w:jc w:val="center"/>
        <w:rPr>
          <w:rFonts w:hint="eastAsia" w:ascii="黑体" w:hAnsi="黑体" w:eastAsia="黑体" w:cs="黑体"/>
          <w:b/>
          <w:bCs/>
          <w:color w:val="auto"/>
          <w:sz w:val="36"/>
          <w:szCs w:val="36"/>
          <w:highlight w:val="none"/>
        </w:rPr>
      </w:pPr>
      <w:bookmarkStart w:id="49" w:name="_Toc28884"/>
      <w:bookmarkStart w:id="50" w:name="_Toc7804"/>
      <w:bookmarkStart w:id="51" w:name="_Toc2176"/>
      <w:bookmarkStart w:id="52" w:name="_Toc18071"/>
      <w:bookmarkStart w:id="53" w:name="_Toc29081"/>
      <w:bookmarkStart w:id="54" w:name="_Toc31010"/>
      <w:r>
        <w:rPr>
          <w:rFonts w:hint="eastAsia" w:ascii="黑体" w:hAnsi="黑体" w:eastAsia="黑体" w:cs="黑体"/>
          <w:b/>
          <w:bCs/>
          <w:color w:val="auto"/>
          <w:sz w:val="36"/>
          <w:szCs w:val="36"/>
          <w:highlight w:val="none"/>
        </w:rPr>
        <w:t>第二章  磋商须知</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keepLines w:val="0"/>
        <w:snapToGrid w:val="0"/>
        <w:spacing w:before="0" w:after="120" w:line="240" w:lineRule="atLeast"/>
        <w:jc w:val="center"/>
        <w:textAlignment w:val="baseline"/>
        <w:rPr>
          <w:rFonts w:ascii="仿宋_GB2312" w:hAnsi="仿宋_GB2312" w:eastAsia="仿宋_GB2312" w:cs="仿宋_GB2312"/>
          <w:color w:val="auto"/>
          <w:sz w:val="28"/>
          <w:szCs w:val="28"/>
          <w:highlight w:val="none"/>
        </w:rPr>
      </w:pPr>
      <w:bookmarkStart w:id="55" w:name="_Toc15716"/>
      <w:bookmarkStart w:id="56" w:name="_Toc22938"/>
      <w:bookmarkStart w:id="57" w:name="_Toc1228"/>
      <w:bookmarkStart w:id="58" w:name="_Toc4070"/>
      <w:bookmarkStart w:id="59" w:name="_Toc13677"/>
      <w:bookmarkStart w:id="60" w:name="_Toc19677"/>
      <w:r>
        <w:rPr>
          <w:rFonts w:hint="eastAsia" w:ascii="仿宋_GB2312" w:hAnsi="仿宋_GB2312" w:eastAsia="仿宋_GB2312" w:cs="仿宋_GB2312"/>
          <w:color w:val="auto"/>
          <w:sz w:val="28"/>
          <w:szCs w:val="28"/>
          <w:highlight w:val="none"/>
        </w:rPr>
        <w:t>一、供应商须知附表</w:t>
      </w:r>
      <w:bookmarkEnd w:id="55"/>
      <w:bookmarkEnd w:id="56"/>
      <w:bookmarkEnd w:id="57"/>
      <w:bookmarkEnd w:id="58"/>
      <w:bookmarkEnd w:id="59"/>
      <w:bookmarkEnd w:id="60"/>
    </w:p>
    <w:tbl>
      <w:tblPr>
        <w:tblStyle w:val="32"/>
        <w:tblW w:w="8985"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634"/>
        <w:gridCol w:w="2066"/>
        <w:gridCol w:w="6285"/>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9" w:hRule="exact"/>
          <w:tblHeader/>
          <w:jc w:val="center"/>
        </w:trPr>
        <w:tc>
          <w:tcPr>
            <w:tcW w:w="634" w:type="dxa"/>
            <w:shd w:val="clear" w:color="auto" w:fill="F2F2F2"/>
            <w:vAlign w:val="center"/>
          </w:tcPr>
          <w:p>
            <w:pPr>
              <w:pStyle w:val="121"/>
              <w:snapToGrid w:val="0"/>
              <w:spacing w:line="360" w:lineRule="exact"/>
              <w:jc w:val="center"/>
              <w:textAlignment w:val="baseline"/>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zh-CN"/>
              </w:rPr>
              <w:t xml:space="preserve">序号 </w:t>
            </w:r>
          </w:p>
        </w:tc>
        <w:tc>
          <w:tcPr>
            <w:tcW w:w="2066" w:type="dxa"/>
            <w:shd w:val="clear" w:color="auto" w:fill="F2F2F2"/>
            <w:vAlign w:val="center"/>
          </w:tcPr>
          <w:p>
            <w:pPr>
              <w:pStyle w:val="121"/>
              <w:snapToGrid w:val="0"/>
              <w:spacing w:line="360" w:lineRule="exact"/>
              <w:jc w:val="center"/>
              <w:textAlignment w:val="baseline"/>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zh-CN"/>
              </w:rPr>
              <w:t xml:space="preserve">应知事项 </w:t>
            </w:r>
          </w:p>
        </w:tc>
        <w:tc>
          <w:tcPr>
            <w:tcW w:w="6285" w:type="dxa"/>
            <w:shd w:val="clear" w:color="auto" w:fill="F2F2F2"/>
            <w:vAlign w:val="center"/>
          </w:tcPr>
          <w:p>
            <w:pPr>
              <w:pStyle w:val="121"/>
              <w:snapToGrid w:val="0"/>
              <w:spacing w:line="360" w:lineRule="exact"/>
              <w:jc w:val="center"/>
              <w:textAlignment w:val="baseline"/>
              <w:rPr>
                <w:rFonts w:ascii="仿宋_GB2312" w:hAnsi="仿宋_GB2312" w:eastAsia="仿宋_GB2312" w:cs="仿宋_GB2312"/>
                <w:b/>
                <w:color w:val="auto"/>
                <w:sz w:val="28"/>
                <w:szCs w:val="28"/>
                <w:highlight w:val="none"/>
                <w:lang w:val="zh-CN"/>
              </w:rPr>
            </w:pPr>
            <w:r>
              <w:rPr>
                <w:rFonts w:hint="eastAsia" w:ascii="仿宋_GB2312" w:hAnsi="仿宋_GB2312" w:eastAsia="仿宋_GB2312" w:cs="仿宋_GB2312"/>
                <w:b/>
                <w:color w:val="auto"/>
                <w:sz w:val="28"/>
                <w:szCs w:val="28"/>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44"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2066"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确定邀请磋商的供应商数量和方式</w:t>
            </w:r>
          </w:p>
        </w:tc>
        <w:tc>
          <w:tcPr>
            <w:tcW w:w="6285" w:type="dxa"/>
            <w:shd w:val="clear" w:color="auto" w:fill="FFFFFF"/>
            <w:vAlign w:val="center"/>
          </w:tcPr>
          <w:p>
            <w:pPr>
              <w:pStyle w:val="121"/>
              <w:snapToGrid w:val="0"/>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本次磋商邀请的供应商数量：不少于</w:t>
            </w: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zh-CN"/>
              </w:rPr>
              <w:t>家。</w:t>
            </w:r>
          </w:p>
          <w:p>
            <w:pPr>
              <w:pStyle w:val="121"/>
              <w:snapToGrid w:val="0"/>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本次采购</w:t>
            </w:r>
            <w:r>
              <w:rPr>
                <w:rFonts w:hint="eastAsia" w:ascii="仿宋_GB2312" w:hAnsi="仿宋_GB2312" w:eastAsia="仿宋_GB2312" w:cs="仿宋_GB2312"/>
                <w:bCs/>
                <w:color w:val="auto"/>
                <w:highlight w:val="none"/>
              </w:rPr>
              <w:t>在</w:t>
            </w:r>
            <w:r>
              <w:rPr>
                <w:rFonts w:hint="eastAsia" w:ascii="仿宋_GB2312" w:hAnsi="仿宋_GB2312" w:eastAsia="仿宋_GB2312" w:cs="仿宋_GB2312"/>
                <w:b/>
                <w:color w:val="auto"/>
                <w:highlight w:val="none"/>
                <w:lang w:eastAsia="zh-CN"/>
              </w:rPr>
              <w:t>广元市农业发展集团有限公司官方</w:t>
            </w:r>
            <w:r>
              <w:rPr>
                <w:rFonts w:hint="eastAsia" w:ascii="仿宋_GB2312" w:hAnsi="仿宋_GB2312" w:eastAsia="仿宋_GB2312" w:cs="仿宋_GB2312"/>
                <w:b/>
                <w:color w:val="auto"/>
                <w:highlight w:val="none"/>
              </w:rPr>
              <w:t>网站</w:t>
            </w:r>
            <w:r>
              <w:rPr>
                <w:rFonts w:hint="eastAsia" w:ascii="仿宋_GB2312" w:hAnsi="仿宋_GB2312" w:eastAsia="仿宋_GB2312" w:cs="仿宋_GB2312"/>
                <w:bCs/>
                <w:color w:val="auto"/>
                <w:highlight w:val="none"/>
              </w:rPr>
              <w:t>上以公告形式</w:t>
            </w:r>
            <w:r>
              <w:rPr>
                <w:rFonts w:hint="eastAsia" w:ascii="仿宋_GB2312" w:hAnsi="仿宋_GB2312" w:eastAsia="仿宋_GB2312" w:cs="仿宋_GB2312"/>
                <w:color w:val="auto"/>
                <w:highlight w:val="none"/>
                <w:lang w:val="zh-CN"/>
              </w:rPr>
              <w:t>邀请参加磋商的供应商。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54"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2</w:t>
            </w:r>
          </w:p>
        </w:tc>
        <w:tc>
          <w:tcPr>
            <w:tcW w:w="2066" w:type="dxa"/>
            <w:shd w:val="clear" w:color="auto" w:fill="FFFFFF"/>
            <w:vAlign w:val="center"/>
          </w:tcPr>
          <w:p>
            <w:pPr>
              <w:pStyle w:val="121"/>
              <w:jc w:val="center"/>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采购预算</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val="zh-CN"/>
              </w:rPr>
              <w:t>最高限价</w:t>
            </w:r>
          </w:p>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b/>
                <w:bCs/>
                <w:color w:val="auto"/>
                <w:highlight w:val="none"/>
                <w:lang w:val="zh-CN"/>
              </w:rPr>
              <w:t>（实质性要求）</w:t>
            </w:r>
          </w:p>
        </w:tc>
        <w:tc>
          <w:tcPr>
            <w:tcW w:w="6285" w:type="dxa"/>
            <w:shd w:val="clear" w:color="auto" w:fill="FFFFFF"/>
            <w:vAlign w:val="center"/>
          </w:tcPr>
          <w:p>
            <w:pPr>
              <w:pStyle w:val="121"/>
              <w:snapToGrid w:val="0"/>
              <w:ind w:firstLine="480" w:firstLineChars="200"/>
              <w:jc w:val="both"/>
              <w:textAlignment w:val="baseline"/>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采购预算</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zh-CN"/>
              </w:rPr>
              <w:t>最高限价：¥</w:t>
            </w:r>
            <w:r>
              <w:rPr>
                <w:rFonts w:hint="eastAsia" w:ascii="仿宋_GB2312" w:hAnsi="仿宋_GB2312" w:eastAsia="仿宋_GB2312" w:cs="仿宋_GB2312"/>
                <w:color w:val="FF0000"/>
                <w:sz w:val="28"/>
                <w:szCs w:val="28"/>
                <w:highlight w:val="none"/>
                <w:lang w:val="en-US" w:eastAsia="zh-CN"/>
              </w:rPr>
              <w:t>8，5000</w:t>
            </w:r>
            <w:r>
              <w:rPr>
                <w:rFonts w:hint="eastAsia" w:ascii="仿宋_GB2312" w:hAnsi="仿宋_GB2312" w:eastAsia="仿宋_GB2312" w:cs="仿宋_GB2312"/>
                <w:color w:val="FF0000"/>
                <w:sz w:val="28"/>
                <w:szCs w:val="28"/>
                <w:highlight w:val="none"/>
              </w:rPr>
              <w:t>.</w:t>
            </w:r>
            <w:r>
              <w:rPr>
                <w:rFonts w:hint="eastAsia" w:ascii="仿宋_GB2312" w:hAnsi="仿宋_GB2312" w:eastAsia="仿宋_GB2312" w:cs="仿宋_GB2312"/>
                <w:color w:val="FF0000"/>
                <w:sz w:val="28"/>
                <w:szCs w:val="28"/>
                <w:highlight w:val="none"/>
                <w:lang w:val="en-US" w:eastAsia="zh-CN"/>
              </w:rPr>
              <w:t>,0</w:t>
            </w:r>
            <w:r>
              <w:rPr>
                <w:rFonts w:hint="eastAsia" w:ascii="仿宋_GB2312" w:hAnsi="仿宋_GB2312" w:eastAsia="仿宋_GB2312" w:cs="仿宋_GB2312"/>
                <w:color w:val="FF0000"/>
                <w:sz w:val="28"/>
                <w:szCs w:val="28"/>
                <w:highlight w:val="none"/>
              </w:rPr>
              <w:t>元（大写：人民币</w:t>
            </w:r>
            <w:r>
              <w:rPr>
                <w:rFonts w:hint="eastAsia" w:ascii="仿宋_GB2312" w:hAnsi="仿宋_GB2312" w:eastAsia="仿宋_GB2312" w:cs="仿宋_GB2312"/>
                <w:color w:val="FF0000"/>
                <w:sz w:val="28"/>
                <w:szCs w:val="28"/>
                <w:highlight w:val="none"/>
                <w:lang w:val="en-US" w:eastAsia="zh-CN"/>
              </w:rPr>
              <w:t>捌万伍仟元整</w:t>
            </w:r>
            <w:r>
              <w:rPr>
                <w:rFonts w:hint="eastAsia" w:ascii="仿宋_GB2312" w:hAnsi="仿宋_GB2312" w:eastAsia="仿宋_GB2312" w:cs="仿宋_GB2312"/>
                <w:color w:val="FF0000"/>
                <w:sz w:val="28"/>
                <w:szCs w:val="28"/>
                <w:highlight w:val="none"/>
              </w:rPr>
              <w:t>）</w:t>
            </w:r>
            <w:r>
              <w:rPr>
                <w:rFonts w:hint="eastAsia" w:ascii="仿宋_GB2312" w:hAnsi="仿宋_GB2312" w:eastAsia="仿宋_GB2312" w:cs="仿宋_GB2312"/>
                <w:color w:val="auto"/>
                <w:highlight w:val="none"/>
                <w:lang w:val="zh-CN"/>
              </w:rPr>
              <w:t>，</w:t>
            </w:r>
          </w:p>
          <w:p>
            <w:pPr>
              <w:pStyle w:val="121"/>
              <w:snapToGrid w:val="0"/>
              <w:ind w:firstLine="480" w:firstLineChars="200"/>
              <w:jc w:val="both"/>
              <w:textAlignment w:val="baseline"/>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超过采购预算</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zh-CN"/>
              </w:rPr>
              <w:t>最高限价的报价无效。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18"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2066" w:type="dxa"/>
            <w:shd w:val="clear" w:color="auto" w:fill="FFFFFF"/>
            <w:vAlign w:val="center"/>
          </w:tcPr>
          <w:p>
            <w:pPr>
              <w:pStyle w:val="121"/>
              <w:spacing w:line="360" w:lineRule="exact"/>
              <w:jc w:val="center"/>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质量要求、验收标准</w:t>
            </w:r>
          </w:p>
        </w:tc>
        <w:tc>
          <w:tcPr>
            <w:tcW w:w="6285" w:type="dxa"/>
            <w:shd w:val="clear" w:color="auto" w:fill="FFFFFF"/>
            <w:vAlign w:val="center"/>
          </w:tcPr>
          <w:p>
            <w:pPr>
              <w:pStyle w:val="121"/>
              <w:spacing w:line="360" w:lineRule="exact"/>
              <w:ind w:firstLine="480" w:firstLineChars="200"/>
              <w:jc w:val="both"/>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质量要求：达到国家现行技术标准和磋商文件要求。</w:t>
            </w:r>
          </w:p>
          <w:p>
            <w:pPr>
              <w:pStyle w:val="121"/>
              <w:spacing w:line="360" w:lineRule="exact"/>
              <w:ind w:firstLine="480" w:firstLineChars="200"/>
              <w:jc w:val="both"/>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验收标准：按照磋商文件、成交供应商响应文件和采购合同实施验收。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5"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p>
        </w:tc>
        <w:tc>
          <w:tcPr>
            <w:tcW w:w="2066" w:type="dxa"/>
            <w:shd w:val="clear" w:color="auto" w:fill="FFFFFF"/>
            <w:vAlign w:val="center"/>
          </w:tcPr>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联合体</w:t>
            </w:r>
          </w:p>
        </w:tc>
        <w:tc>
          <w:tcPr>
            <w:tcW w:w="6285" w:type="dxa"/>
            <w:shd w:val="clear" w:color="auto" w:fill="FFFFFF"/>
            <w:vAlign w:val="center"/>
          </w:tcPr>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不允许联合体磋商。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89"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5</w:t>
            </w:r>
          </w:p>
        </w:tc>
        <w:tc>
          <w:tcPr>
            <w:tcW w:w="2066"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响应文件有效期</w:t>
            </w:r>
          </w:p>
        </w:tc>
        <w:tc>
          <w:tcPr>
            <w:tcW w:w="6285" w:type="dxa"/>
            <w:shd w:val="clear" w:color="auto" w:fill="FFFFFF"/>
            <w:vAlign w:val="center"/>
          </w:tcPr>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递交磋商响应文件截止</w:t>
            </w:r>
            <w:r>
              <w:rPr>
                <w:rFonts w:hint="eastAsia" w:ascii="仿宋_GB2312" w:hAnsi="仿宋_GB2312" w:eastAsia="仿宋_GB2312" w:cs="仿宋_GB2312"/>
                <w:color w:val="auto"/>
                <w:highlight w:val="none"/>
              </w:rPr>
              <w:t>之</w:t>
            </w:r>
            <w:r>
              <w:rPr>
                <w:rFonts w:hint="eastAsia" w:ascii="仿宋_GB2312" w:hAnsi="仿宋_GB2312" w:eastAsia="仿宋_GB2312" w:cs="仿宋_GB2312"/>
                <w:color w:val="auto"/>
                <w:highlight w:val="none"/>
                <w:lang w:val="zh-CN"/>
              </w:rPr>
              <w:t>日起</w:t>
            </w:r>
            <w:r>
              <w:rPr>
                <w:rFonts w:hint="eastAsia" w:ascii="仿宋_GB2312" w:hAnsi="仿宋_GB2312" w:eastAsia="仿宋_GB2312" w:cs="仿宋_GB2312"/>
                <w:b/>
                <w:color w:val="auto"/>
                <w:highlight w:val="none"/>
              </w:rPr>
              <w:t>90</w:t>
            </w:r>
            <w:r>
              <w:rPr>
                <w:rFonts w:hint="eastAsia" w:ascii="仿宋_GB2312" w:hAnsi="仿宋_GB2312" w:eastAsia="仿宋_GB2312" w:cs="仿宋_GB2312"/>
                <w:b/>
                <w:color w:val="auto"/>
                <w:highlight w:val="none"/>
                <w:lang w:val="zh-CN"/>
              </w:rPr>
              <w:t>天</w:t>
            </w:r>
            <w:r>
              <w:rPr>
                <w:rFonts w:hint="eastAsia" w:ascii="仿宋_GB2312" w:hAnsi="仿宋_GB2312" w:eastAsia="仿宋_GB2312" w:cs="仿宋_GB2312"/>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028" w:hRule="exact"/>
          <w:tblHeader/>
          <w:jc w:val="center"/>
        </w:trPr>
        <w:tc>
          <w:tcPr>
            <w:tcW w:w="634" w:type="dxa"/>
            <w:shd w:val="clear" w:color="auto" w:fill="FFFFFF"/>
            <w:vAlign w:val="center"/>
          </w:tcPr>
          <w:p>
            <w:pPr>
              <w:snapToGrid w:val="0"/>
              <w:spacing w:line="400" w:lineRule="exact"/>
              <w:jc w:val="center"/>
              <w:textAlignment w:val="baseline"/>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kern w:val="0"/>
                <w:sz w:val="24"/>
                <w:highlight w:val="none"/>
              </w:rPr>
              <w:t>6</w:t>
            </w:r>
          </w:p>
        </w:tc>
        <w:tc>
          <w:tcPr>
            <w:tcW w:w="2066"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低于成本价不正当竞争预防措施</w:t>
            </w:r>
          </w:p>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（实质性要求）</w:t>
            </w:r>
          </w:p>
        </w:tc>
        <w:tc>
          <w:tcPr>
            <w:tcW w:w="6285" w:type="dxa"/>
            <w:shd w:val="clear" w:color="auto" w:fill="FFFFFF"/>
            <w:vAlign w:val="center"/>
          </w:tcPr>
          <w:p>
            <w:pPr>
              <w:pStyle w:val="121"/>
              <w:snapToGrid w:val="0"/>
              <w:spacing w:line="36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1.</w:t>
            </w:r>
            <w:r>
              <w:rPr>
                <w:rFonts w:hint="eastAsia" w:ascii="仿宋_GB2312" w:hAnsi="仿宋_GB2312" w:eastAsia="仿宋_GB2312" w:cs="仿宋_GB2312"/>
                <w:color w:val="FF0000"/>
                <w:highlight w:val="none"/>
                <w:lang w:val="zh-CN"/>
              </w:rPr>
              <w:t>在评审过程中，供应商报价低于最高限价的85%或者低于其他有效供应商报价算术平均价9</w:t>
            </w:r>
            <w:r>
              <w:rPr>
                <w:rFonts w:hint="eastAsia" w:ascii="仿宋_GB2312" w:hAnsi="仿宋_GB2312" w:eastAsia="仿宋_GB2312" w:cs="仿宋_GB2312"/>
                <w:color w:val="FF0000"/>
                <w:highlight w:val="none"/>
              </w:rPr>
              <w:t>5</w:t>
            </w:r>
            <w:r>
              <w:rPr>
                <w:rFonts w:hint="eastAsia" w:ascii="仿宋_GB2312" w:hAnsi="仿宋_GB2312" w:eastAsia="仿宋_GB2312" w:cs="仿宋_GB2312"/>
                <w:color w:val="FF0000"/>
                <w:highlight w:val="none"/>
                <w:lang w:val="zh-CN"/>
              </w:rPr>
              <w:t>%的，</w:t>
            </w:r>
            <w:r>
              <w:rPr>
                <w:rFonts w:hint="eastAsia" w:ascii="仿宋_GB2312" w:hAnsi="仿宋_GB2312" w:eastAsia="仿宋_GB2312" w:cs="仿宋_GB2312"/>
                <w:color w:val="auto"/>
                <w:highlight w:val="none"/>
                <w:lang w:val="zh-CN"/>
              </w:rPr>
              <w:t>有可能影响工程质量或者不能诚信履约的，应当要求其在评审现场合理的时间内提供书面说明，必要时提交相关证明材料；供应商不能证明其报价合理性的，磋商小组应当将其响应文件作为无效处理。</w:t>
            </w:r>
          </w:p>
          <w:p>
            <w:pPr>
              <w:pStyle w:val="121"/>
              <w:snapToGrid w:val="0"/>
              <w:spacing w:line="36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供应商的书面说明材料应当按照国家财务会计制度的规定要求，逐项就供应商提供的工程及其有关的货物、服务的主营业务成本、税金及附加、销售费用、管理费用、财务费用等成本构成事项详细陈述。</w:t>
            </w:r>
          </w:p>
          <w:p>
            <w:pPr>
              <w:pStyle w:val="121"/>
              <w:snapToGrid w:val="0"/>
              <w:spacing w:line="36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2.供应商书面说明应当签字确认或者加盖公章，否则无效。书面说明的签字确认，由其法定代表人/主要负责人/本人或者其授权代表签字确认。 </w:t>
            </w:r>
          </w:p>
          <w:p>
            <w:pPr>
              <w:pStyle w:val="121"/>
              <w:snapToGrid w:val="0"/>
              <w:spacing w:line="360" w:lineRule="exact"/>
              <w:ind w:firstLine="480" w:firstLineChars="200"/>
              <w:jc w:val="both"/>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highlight w:val="none"/>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9" w:hRule="atLeas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7</w:t>
            </w:r>
          </w:p>
        </w:tc>
        <w:tc>
          <w:tcPr>
            <w:tcW w:w="2066" w:type="dxa"/>
            <w:shd w:val="clear" w:color="auto" w:fill="FFFFFF"/>
            <w:vAlign w:val="center"/>
          </w:tcPr>
          <w:p>
            <w:pPr>
              <w:snapToGrid w:val="0"/>
              <w:spacing w:line="400" w:lineRule="exact"/>
              <w:ind w:firstLine="240" w:firstLineChars="100"/>
              <w:textAlignment w:val="baseline"/>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响应文件的份数（实质性要求）</w:t>
            </w:r>
          </w:p>
        </w:tc>
        <w:tc>
          <w:tcPr>
            <w:tcW w:w="6285" w:type="dxa"/>
            <w:shd w:val="clear" w:color="auto" w:fill="FFFFFF"/>
            <w:vAlign w:val="center"/>
          </w:tcPr>
          <w:p>
            <w:pPr>
              <w:snapToGrid w:val="0"/>
              <w:spacing w:line="400" w:lineRule="exact"/>
              <w:ind w:firstLine="480" w:firstLineChars="200"/>
              <w:textAlignment w:val="baseline"/>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响应文件</w:t>
            </w:r>
            <w:r>
              <w:rPr>
                <w:rFonts w:hint="eastAsia" w:ascii="仿宋_GB2312" w:hAnsi="仿宋_GB2312" w:eastAsia="仿宋_GB2312" w:cs="仿宋_GB2312"/>
                <w:b/>
                <w:color w:val="auto"/>
                <w:kern w:val="0"/>
                <w:sz w:val="24"/>
                <w:highlight w:val="none"/>
                <w:lang w:val="zh-CN"/>
              </w:rPr>
              <w:t>正本1份，副本2份，</w:t>
            </w:r>
            <w:r>
              <w:rPr>
                <w:rFonts w:hint="eastAsia" w:ascii="仿宋_GB2312" w:hAnsi="仿宋_GB2312" w:eastAsia="仿宋_GB2312" w:cs="仿宋_GB2312"/>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737"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8</w:t>
            </w:r>
          </w:p>
        </w:tc>
        <w:tc>
          <w:tcPr>
            <w:tcW w:w="2066"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磋商保证金</w:t>
            </w:r>
          </w:p>
        </w:tc>
        <w:tc>
          <w:tcPr>
            <w:tcW w:w="6285" w:type="dxa"/>
            <w:shd w:val="clear" w:color="auto" w:fill="FFFFFF"/>
            <w:vAlign w:val="center"/>
          </w:tcPr>
          <w:p>
            <w:pPr>
              <w:spacing w:line="400" w:lineRule="exact"/>
              <w:ind w:firstLine="480" w:firstLineChars="200"/>
              <w:rPr>
                <w:rFonts w:eastAsia="仿宋"/>
                <w:color w:val="FF0000"/>
                <w:sz w:val="24"/>
                <w:highlight w:val="none"/>
              </w:rPr>
            </w:pPr>
            <w:r>
              <w:rPr>
                <w:rFonts w:eastAsia="仿宋"/>
                <w:color w:val="FF0000"/>
                <w:sz w:val="24"/>
                <w:highlight w:val="none"/>
              </w:rPr>
              <w:t>金    额：</w:t>
            </w:r>
            <w:r>
              <w:rPr>
                <w:rFonts w:hint="eastAsia" w:ascii="仿宋" w:hAnsi="仿宋" w:eastAsia="仿宋" w:cs="仿宋"/>
                <w:color w:val="FF0000"/>
                <w:sz w:val="24"/>
                <w:highlight w:val="none"/>
                <w:lang w:val="en-US"/>
              </w:rPr>
              <w:t>¥</w:t>
            </w:r>
            <w:r>
              <w:rPr>
                <w:rFonts w:hint="eastAsia" w:ascii="仿宋" w:hAnsi="仿宋" w:eastAsia="仿宋" w:cs="仿宋"/>
                <w:color w:val="FF0000"/>
                <w:sz w:val="24"/>
                <w:highlight w:val="none"/>
                <w:lang w:val="en-US" w:eastAsia="zh-CN"/>
              </w:rPr>
              <w:t>X0</w:t>
            </w:r>
            <w:r>
              <w:rPr>
                <w:rFonts w:hint="eastAsia" w:ascii="仿宋" w:hAnsi="仿宋" w:eastAsia="仿宋" w:cs="仿宋"/>
                <w:color w:val="FF0000"/>
                <w:sz w:val="24"/>
                <w:highlight w:val="none"/>
                <w:lang w:val="en-US"/>
              </w:rPr>
              <w:t>,</w:t>
            </w:r>
            <w:r>
              <w:rPr>
                <w:rFonts w:hint="eastAsia" w:ascii="仿宋" w:hAnsi="仿宋" w:eastAsia="仿宋" w:cs="仿宋"/>
                <w:color w:val="FF0000"/>
                <w:sz w:val="24"/>
                <w:highlight w:val="none"/>
                <w:lang w:val="en-US" w:eastAsia="zh-CN"/>
              </w:rPr>
              <w:t>0</w:t>
            </w:r>
            <w:r>
              <w:rPr>
                <w:rFonts w:hint="eastAsia" w:ascii="仿宋" w:hAnsi="仿宋" w:eastAsia="仿宋" w:cs="仿宋"/>
                <w:color w:val="FF0000"/>
                <w:sz w:val="24"/>
                <w:highlight w:val="none"/>
                <w:lang w:val="en-US"/>
              </w:rPr>
              <w:t>00.00元（人民币</w:t>
            </w:r>
            <w:r>
              <w:rPr>
                <w:rFonts w:hint="eastAsia" w:ascii="仿宋" w:hAnsi="仿宋" w:eastAsia="仿宋" w:cs="仿宋"/>
                <w:color w:val="FF0000"/>
                <w:sz w:val="24"/>
                <w:highlight w:val="none"/>
                <w:lang w:val="en-US" w:eastAsia="zh-CN"/>
              </w:rPr>
              <w:t>XX</w:t>
            </w:r>
            <w:r>
              <w:rPr>
                <w:rFonts w:hint="eastAsia" w:ascii="仿宋" w:hAnsi="仿宋" w:eastAsia="仿宋" w:cs="仿宋"/>
                <w:color w:val="FF0000"/>
                <w:sz w:val="24"/>
                <w:highlight w:val="none"/>
                <w:lang w:val="en-US"/>
              </w:rPr>
              <w:t>元整）</w:t>
            </w:r>
            <w:r>
              <w:rPr>
                <w:rFonts w:eastAsia="仿宋"/>
                <w:color w:val="FF0000"/>
                <w:sz w:val="24"/>
                <w:highlight w:val="none"/>
              </w:rPr>
              <w:t>；</w:t>
            </w:r>
          </w:p>
          <w:p>
            <w:pPr>
              <w:spacing w:line="400" w:lineRule="exact"/>
              <w:ind w:firstLine="480" w:firstLineChars="200"/>
              <w:rPr>
                <w:rFonts w:eastAsia="仿宋"/>
                <w:color w:val="auto"/>
                <w:sz w:val="24"/>
                <w:highlight w:val="none"/>
              </w:rPr>
            </w:pPr>
            <w:r>
              <w:rPr>
                <w:rFonts w:eastAsia="仿宋"/>
                <w:color w:val="auto"/>
                <w:sz w:val="24"/>
                <w:highlight w:val="none"/>
              </w:rPr>
              <w:t>交</w:t>
            </w:r>
            <w:r>
              <w:rPr>
                <w:rFonts w:hint="eastAsia" w:eastAsia="仿宋"/>
                <w:color w:val="auto"/>
                <w:sz w:val="24"/>
                <w:highlight w:val="none"/>
                <w:lang w:val="en-US" w:eastAsia="zh-CN"/>
              </w:rPr>
              <w:t>纳</w:t>
            </w:r>
            <w:r>
              <w:rPr>
                <w:rFonts w:eastAsia="仿宋"/>
                <w:color w:val="auto"/>
                <w:sz w:val="24"/>
                <w:highlight w:val="none"/>
              </w:rPr>
              <w:t>方式：</w:t>
            </w:r>
            <w:r>
              <w:rPr>
                <w:rFonts w:eastAsia="仿宋"/>
                <w:color w:val="auto"/>
                <w:sz w:val="24"/>
                <w:highlight w:val="none"/>
                <w:lang w:val="zh-CN"/>
              </w:rPr>
              <w:fldChar w:fldCharType="begin"/>
            </w:r>
            <w:r>
              <w:rPr>
                <w:rFonts w:eastAsia="仿宋"/>
                <w:color w:val="auto"/>
                <w:sz w:val="24"/>
                <w:highlight w:val="none"/>
                <w:lang w:val="zh-CN"/>
              </w:rPr>
              <w:instrText xml:space="preserve"> = 1 \* GB3 </w:instrText>
            </w:r>
            <w:r>
              <w:rPr>
                <w:rFonts w:eastAsia="仿宋"/>
                <w:color w:val="auto"/>
                <w:sz w:val="24"/>
                <w:highlight w:val="none"/>
                <w:lang w:val="zh-CN"/>
              </w:rPr>
              <w:fldChar w:fldCharType="separate"/>
            </w:r>
            <w:r>
              <w:rPr>
                <w:rFonts w:hint="eastAsia" w:ascii="宋体" w:hAnsi="宋体" w:eastAsia="宋体" w:cs="宋体"/>
                <w:color w:val="auto"/>
                <w:sz w:val="24"/>
                <w:highlight w:val="none"/>
                <w:lang w:val="zh-CN"/>
              </w:rPr>
              <w:t>①</w:t>
            </w:r>
            <w:r>
              <w:rPr>
                <w:rFonts w:eastAsia="仿宋"/>
                <w:color w:val="auto"/>
                <w:sz w:val="24"/>
                <w:highlight w:val="none"/>
                <w:lang w:val="zh-CN"/>
              </w:rPr>
              <w:fldChar w:fldCharType="end"/>
            </w:r>
            <w:r>
              <w:rPr>
                <w:rFonts w:eastAsia="仿宋"/>
                <w:color w:val="auto"/>
                <w:sz w:val="24"/>
                <w:highlight w:val="none"/>
              </w:rPr>
              <w:t>通过供应商</w:t>
            </w:r>
            <w:r>
              <w:rPr>
                <w:rFonts w:eastAsia="仿宋"/>
                <w:color w:val="auto"/>
                <w:kern w:val="0"/>
                <w:sz w:val="24"/>
                <w:highlight w:val="none"/>
                <w:lang w:val="zh-CN"/>
              </w:rPr>
              <w:t>对公银行账户转账至阳光采购平台提示的指定账户</w:t>
            </w:r>
            <w:r>
              <w:rPr>
                <w:rFonts w:eastAsia="仿宋"/>
                <w:color w:val="auto"/>
                <w:sz w:val="24"/>
                <w:highlight w:val="none"/>
              </w:rPr>
              <w:t>，交款账户名称和供应商名称必须一致，以到账时间为准。</w:t>
            </w:r>
            <w:r>
              <w:rPr>
                <w:rFonts w:hint="eastAsia" w:ascii="宋体" w:hAnsi="宋体" w:eastAsia="宋体" w:cs="宋体"/>
                <w:color w:val="auto"/>
                <w:sz w:val="24"/>
                <w:highlight w:val="none"/>
              </w:rPr>
              <w:t>②</w:t>
            </w:r>
            <w:r>
              <w:rPr>
                <w:rFonts w:eastAsia="仿宋"/>
                <w:color w:val="auto"/>
                <w:kern w:val="0"/>
                <w:sz w:val="24"/>
                <w:highlight w:val="none"/>
                <w:lang w:val="zh-CN"/>
              </w:rPr>
              <w:t>以电子保函形式交纳的，按照网上操作流程（资料下载</w:t>
            </w:r>
            <w:r>
              <w:rPr>
                <w:rFonts w:hint="eastAsia" w:eastAsia="仿宋"/>
                <w:color w:val="auto"/>
                <w:kern w:val="0"/>
                <w:sz w:val="24"/>
                <w:highlight w:val="none"/>
                <w:lang w:val="zh-CN"/>
              </w:rPr>
              <w:t>－</w:t>
            </w:r>
            <w:r>
              <w:rPr>
                <w:rFonts w:eastAsia="仿宋"/>
                <w:color w:val="auto"/>
                <w:kern w:val="0"/>
                <w:sz w:val="24"/>
                <w:highlight w:val="none"/>
                <w:lang w:val="zh-CN"/>
              </w:rPr>
              <w:t>供应商操作手册）开具电子保函。</w:t>
            </w:r>
          </w:p>
          <w:p>
            <w:pPr>
              <w:spacing w:line="400" w:lineRule="exact"/>
              <w:ind w:firstLine="480" w:firstLineChars="200"/>
              <w:rPr>
                <w:rFonts w:eastAsia="仿宋"/>
                <w:color w:val="auto"/>
                <w:sz w:val="24"/>
                <w:highlight w:val="none"/>
              </w:rPr>
            </w:pPr>
            <w:r>
              <w:rPr>
                <w:rFonts w:eastAsia="仿宋"/>
                <w:color w:val="auto"/>
                <w:sz w:val="24"/>
                <w:highlight w:val="none"/>
              </w:rPr>
              <w:t>保证金交纳截止时间：同响应文件递交截止时间（磋商保证金的交纳以银行到账时间</w:t>
            </w:r>
            <w:r>
              <w:rPr>
                <w:rFonts w:eastAsia="仿宋"/>
                <w:color w:val="auto"/>
                <w:kern w:val="0"/>
                <w:sz w:val="24"/>
                <w:highlight w:val="none"/>
                <w:lang w:val="zh-CN"/>
              </w:rPr>
              <w:t>或系统保函开具时间</w:t>
            </w:r>
            <w:r>
              <w:rPr>
                <w:rFonts w:eastAsia="仿宋"/>
                <w:color w:val="auto"/>
                <w:sz w:val="24"/>
                <w:highlight w:val="none"/>
              </w:rPr>
              <w:t>为准；超过此时限导致响应无效的，由供应商自行承担责任）。</w:t>
            </w:r>
          </w:p>
          <w:p>
            <w:pPr>
              <w:autoSpaceDE w:val="0"/>
              <w:autoSpaceDN w:val="0"/>
              <w:spacing w:line="400" w:lineRule="exact"/>
              <w:ind w:firstLine="482" w:firstLineChars="200"/>
              <w:rPr>
                <w:rFonts w:eastAsia="仿宋"/>
                <w:b/>
                <w:bCs/>
                <w:color w:val="auto"/>
                <w:sz w:val="24"/>
                <w:highlight w:val="none"/>
              </w:rPr>
            </w:pPr>
            <w:r>
              <w:rPr>
                <w:rFonts w:eastAsia="仿宋"/>
                <w:b/>
                <w:bCs/>
                <w:color w:val="auto"/>
                <w:sz w:val="24"/>
                <w:highlight w:val="none"/>
              </w:rPr>
              <w:t>特别注意：</w:t>
            </w:r>
          </w:p>
          <w:p>
            <w:pPr>
              <w:autoSpaceDE w:val="0"/>
              <w:autoSpaceDN w:val="0"/>
              <w:spacing w:line="400" w:lineRule="exact"/>
              <w:ind w:firstLine="482" w:firstLineChars="200"/>
              <w:rPr>
                <w:rFonts w:eastAsia="仿宋"/>
                <w:b/>
                <w:bCs/>
                <w:color w:val="auto"/>
                <w:sz w:val="24"/>
                <w:highlight w:val="none"/>
              </w:rPr>
            </w:pPr>
            <w:r>
              <w:rPr>
                <w:rFonts w:eastAsia="仿宋"/>
                <w:b/>
                <w:bCs/>
                <w:color w:val="auto"/>
                <w:sz w:val="24"/>
                <w:highlight w:val="none"/>
              </w:rPr>
              <w:t>（1）供应商交纳磋商保证金时，请务必核实阳光采购平台转账页面的“项目信息”，认真阅读“注意事项”并按照“支付信息”进行转账。</w:t>
            </w:r>
          </w:p>
          <w:p>
            <w:pPr>
              <w:pStyle w:val="121"/>
              <w:adjustRightInd/>
              <w:spacing w:line="400" w:lineRule="exact"/>
              <w:ind w:firstLine="482" w:firstLineChars="200"/>
              <w:rPr>
                <w:rFonts w:ascii="Times New Roman" w:hAnsi="Times New Roman" w:eastAsia="仿宋" w:cs="Times New Roman"/>
                <w:b/>
                <w:bCs/>
                <w:color w:val="auto"/>
                <w:kern w:val="2"/>
                <w:highlight w:val="none"/>
              </w:rPr>
            </w:pPr>
            <w:r>
              <w:rPr>
                <w:rFonts w:ascii="Times New Roman" w:hAnsi="Times New Roman" w:eastAsia="仿宋" w:cs="Times New Roman"/>
                <w:b/>
                <w:bCs/>
                <w:color w:val="auto"/>
                <w:kern w:val="2"/>
                <w:highlight w:val="none"/>
              </w:rPr>
              <w:t>（2）阳光采购平台所提供的保证金交纳账户，每次交纳费用的账号不同，请各供应商在交纳费用时，仔细核对收款账户、账号，避免因账号错误而造成保证金未按要求交纳。</w:t>
            </w:r>
          </w:p>
          <w:p>
            <w:pPr>
              <w:pStyle w:val="121"/>
              <w:adjustRightInd/>
              <w:spacing w:line="400" w:lineRule="exact"/>
              <w:ind w:firstLine="482" w:firstLineChars="200"/>
              <w:rPr>
                <w:rFonts w:ascii="Times New Roman" w:hAnsi="Times New Roman" w:eastAsia="仿宋"/>
                <w:b/>
                <w:color w:val="auto"/>
                <w:highlight w:val="none"/>
                <w:lang w:val="zh-CN"/>
              </w:rPr>
            </w:pPr>
            <w:r>
              <w:rPr>
                <w:rFonts w:hint="eastAsia" w:ascii="Times New Roman" w:hAnsi="Times New Roman" w:eastAsia="仿宋"/>
                <w:b/>
                <w:color w:val="auto"/>
                <w:highlight w:val="none"/>
                <w:lang w:val="zh-CN"/>
              </w:rPr>
              <w:t>（3）</w:t>
            </w:r>
            <w:r>
              <w:rPr>
                <w:rFonts w:ascii="Times New Roman" w:hAnsi="Times New Roman" w:eastAsia="仿宋"/>
                <w:b/>
                <w:color w:val="auto"/>
                <w:highlight w:val="none"/>
                <w:lang w:val="zh-CN"/>
              </w:rPr>
              <w:t>转账后或开具电子保函后，请及时登录阳光采购平台查询保证金状态。</w:t>
            </w:r>
          </w:p>
          <w:p>
            <w:pPr>
              <w:pStyle w:val="121"/>
              <w:snapToGrid w:val="0"/>
              <w:spacing w:line="400" w:lineRule="exact"/>
              <w:ind w:firstLine="482" w:firstLineChars="200"/>
              <w:jc w:val="both"/>
              <w:textAlignment w:val="baseline"/>
              <w:rPr>
                <w:rFonts w:ascii="仿宋_GB2312" w:hAnsi="仿宋_GB2312" w:eastAsia="仿宋_GB2312" w:cs="仿宋_GB2312"/>
                <w:color w:val="auto"/>
                <w:highlight w:val="none"/>
              </w:rPr>
            </w:pPr>
            <w:r>
              <w:rPr>
                <w:rFonts w:hint="eastAsia" w:ascii="Times New Roman" w:hAnsi="Times New Roman" w:eastAsia="仿宋"/>
                <w:b/>
                <w:color w:val="auto"/>
                <w:highlight w:val="none"/>
                <w:lang w:val="zh-CN"/>
              </w:rPr>
              <w:t>（4）供应商</w:t>
            </w:r>
            <w:r>
              <w:rPr>
                <w:rFonts w:ascii="Times New Roman" w:hAnsi="Times New Roman" w:eastAsia="仿宋"/>
                <w:b/>
                <w:color w:val="auto"/>
                <w:highlight w:val="none"/>
                <w:lang w:val="zh-CN"/>
              </w:rPr>
              <w:t>所交纳的</w:t>
            </w:r>
            <w:r>
              <w:rPr>
                <w:rFonts w:hint="eastAsia" w:ascii="Times New Roman" w:hAnsi="Times New Roman" w:eastAsia="仿宋"/>
                <w:b/>
                <w:color w:val="auto"/>
                <w:highlight w:val="none"/>
                <w:lang w:val="zh-CN"/>
              </w:rPr>
              <w:t>磋商</w:t>
            </w:r>
            <w:r>
              <w:rPr>
                <w:rFonts w:ascii="Times New Roman" w:hAnsi="Times New Roman" w:eastAsia="仿宋"/>
                <w:b/>
                <w:color w:val="auto"/>
                <w:highlight w:val="none"/>
                <w:lang w:val="zh-CN"/>
              </w:rPr>
              <w:t>保证金不计利息</w:t>
            </w:r>
            <w:r>
              <w:rPr>
                <w:rFonts w:hint="eastAsia" w:ascii="Times New Roman" w:hAnsi="Times New Roman" w:eastAsia="仿宋"/>
                <w:b/>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386"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9</w:t>
            </w:r>
          </w:p>
        </w:tc>
        <w:tc>
          <w:tcPr>
            <w:tcW w:w="2066" w:type="dxa"/>
            <w:shd w:val="clear" w:color="auto" w:fill="FFFFFF"/>
            <w:vAlign w:val="center"/>
          </w:tcPr>
          <w:p>
            <w:pPr>
              <w:pStyle w:val="121"/>
              <w:spacing w:line="360" w:lineRule="auto"/>
              <w:ind w:left="38"/>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履约保证金</w:t>
            </w:r>
          </w:p>
        </w:tc>
        <w:tc>
          <w:tcPr>
            <w:tcW w:w="6285" w:type="dxa"/>
            <w:shd w:val="clear" w:color="auto" w:fill="FFFFFF"/>
            <w:vAlign w:val="center"/>
          </w:tcPr>
          <w:p>
            <w:pPr>
              <w:pStyle w:val="121"/>
              <w:snapToGrid w:val="0"/>
              <w:spacing w:line="400" w:lineRule="exact"/>
              <w:ind w:firstLine="480" w:firstLineChars="200"/>
              <w:jc w:val="both"/>
              <w:textAlignment w:val="baseline"/>
              <w:rPr>
                <w:rFonts w:ascii="仿宋_GB2312" w:hAnsi="仿宋_GB2312" w:eastAsia="仿宋_GB2312" w:cs="仿宋_GB2312"/>
                <w:color w:val="FF0000"/>
                <w:highlight w:val="none"/>
                <w:lang w:val="zh-CN"/>
              </w:rPr>
            </w:pPr>
            <w:r>
              <w:rPr>
                <w:rFonts w:hint="eastAsia" w:ascii="仿宋_GB2312" w:hAnsi="仿宋_GB2312" w:eastAsia="仿宋_GB2312" w:cs="仿宋_GB2312"/>
                <w:color w:val="FF0000"/>
                <w:highlight w:val="none"/>
                <w:lang w:val="zh-CN"/>
              </w:rPr>
              <w:t>金额：无。</w:t>
            </w:r>
          </w:p>
          <w:p>
            <w:pPr>
              <w:pStyle w:val="121"/>
              <w:snapToGrid w:val="0"/>
              <w:spacing w:line="400" w:lineRule="exact"/>
              <w:ind w:firstLine="480" w:firstLineChars="200"/>
              <w:jc w:val="both"/>
              <w:textAlignment w:val="baseline"/>
              <w:rPr>
                <w:rFonts w:ascii="仿宋_GB2312" w:hAnsi="仿宋_GB2312" w:eastAsia="仿宋_GB2312" w:cs="仿宋_GB2312"/>
                <w:color w:val="FF0000"/>
                <w:highlight w:val="none"/>
                <w:lang w:val="zh-CN"/>
              </w:rPr>
            </w:pPr>
            <w:r>
              <w:rPr>
                <w:rFonts w:hint="eastAsia" w:ascii="仿宋_GB2312" w:hAnsi="仿宋_GB2312" w:eastAsia="仿宋_GB2312" w:cs="仿宋_GB2312"/>
                <w:color w:val="FF0000"/>
                <w:highlight w:val="none"/>
                <w:lang w:val="zh-CN"/>
              </w:rPr>
              <w:t>交款方式：履约保证金可以以支票、汇票、本票或者金融机构出具的保函等非现金形式提交（包括网银转账，电汇等方式）。</w:t>
            </w:r>
          </w:p>
          <w:p>
            <w:pPr>
              <w:pStyle w:val="121"/>
              <w:snapToGrid w:val="0"/>
              <w:spacing w:line="400" w:lineRule="exact"/>
              <w:ind w:firstLine="480" w:firstLineChars="200"/>
              <w:jc w:val="both"/>
              <w:textAlignment w:val="baseline"/>
              <w:rPr>
                <w:rFonts w:ascii="仿宋_GB2312" w:hAnsi="仿宋_GB2312" w:eastAsia="仿宋_GB2312" w:cs="仿宋_GB2312"/>
                <w:color w:val="FF0000"/>
                <w:highlight w:val="none"/>
                <w:lang w:val="zh-CN"/>
              </w:rPr>
            </w:pPr>
            <w:r>
              <w:rPr>
                <w:rFonts w:hint="eastAsia" w:ascii="仿宋_GB2312" w:hAnsi="仿宋_GB2312" w:eastAsia="仿宋_GB2312" w:cs="仿宋_GB2312"/>
                <w:color w:val="FF0000"/>
                <w:highlight w:val="none"/>
                <w:lang w:val="zh-CN"/>
              </w:rPr>
              <w:t>收款单位：</w:t>
            </w:r>
            <w:r>
              <w:rPr>
                <w:rFonts w:hint="eastAsia" w:ascii="仿宋_GB2312" w:hAnsi="仿宋_GB2312" w:eastAsia="仿宋_GB2312" w:cs="仿宋_GB2312"/>
                <w:color w:val="FF0000"/>
                <w:highlight w:val="none"/>
                <w:lang w:val="en-US" w:eastAsia="zh-CN"/>
              </w:rPr>
              <w:t xml:space="preserve">    </w:t>
            </w:r>
            <w:r>
              <w:rPr>
                <w:rFonts w:hint="eastAsia" w:ascii="仿宋_GB2312" w:hAnsi="仿宋_GB2312" w:eastAsia="仿宋_GB2312" w:cs="仿宋_GB2312"/>
                <w:color w:val="FF0000"/>
                <w:highlight w:val="none"/>
                <w:lang w:val="zh-CN"/>
              </w:rPr>
              <w:t>有限责任公司。</w:t>
            </w:r>
          </w:p>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交款时间：成交通知书发放后，施工合同签订前。</w:t>
            </w:r>
          </w:p>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履约保证金退还方式及时间：详见合同约定。</w:t>
            </w:r>
          </w:p>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zh-CN"/>
              </w:rPr>
              <w:t>履约保证金不予退还情形：详见合同约定。</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99"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10</w:t>
            </w:r>
          </w:p>
        </w:tc>
        <w:tc>
          <w:tcPr>
            <w:tcW w:w="2066"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成交</w:t>
            </w:r>
            <w:r>
              <w:rPr>
                <w:rFonts w:hint="eastAsia" w:ascii="仿宋_GB2312" w:hAnsi="仿宋_GB2312" w:eastAsia="仿宋_GB2312" w:cs="仿宋_GB2312"/>
                <w:color w:val="auto"/>
                <w:highlight w:val="none"/>
                <w:lang w:val="zh-CN"/>
              </w:rPr>
              <w:t>通知书领取</w:t>
            </w:r>
          </w:p>
        </w:tc>
        <w:tc>
          <w:tcPr>
            <w:tcW w:w="6285" w:type="dxa"/>
            <w:shd w:val="clear" w:color="auto" w:fill="FFFFFF"/>
            <w:vAlign w:val="center"/>
          </w:tcPr>
          <w:p>
            <w:pPr>
              <w:pStyle w:val="121"/>
              <w:snapToGrid w:val="0"/>
              <w:spacing w:line="36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采购结果公告在广元市农业发展集团有限公司（http://www.gynfjt.com/）发布后，请成交供应商凭有效身份证明证件领取成交通知书。</w:t>
            </w:r>
          </w:p>
          <w:p>
            <w:pPr>
              <w:pStyle w:val="121"/>
              <w:snapToGrid w:val="0"/>
              <w:spacing w:line="36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联 系 人：</w:t>
            </w:r>
            <w:r>
              <w:rPr>
                <w:rFonts w:hint="eastAsia" w:ascii="仿宋_GB2312" w:hAnsi="仿宋_GB2312" w:eastAsia="仿宋_GB2312" w:cs="仿宋_GB2312"/>
                <w:color w:val="auto"/>
                <w:highlight w:val="none"/>
                <w:lang w:val="en-US" w:eastAsia="zh-CN"/>
              </w:rPr>
              <w:t>黎先生</w:t>
            </w:r>
          </w:p>
          <w:p>
            <w:pPr>
              <w:pStyle w:val="121"/>
              <w:snapToGrid w:val="0"/>
              <w:spacing w:line="360" w:lineRule="exact"/>
              <w:ind w:firstLine="480" w:firstLineChars="200"/>
              <w:jc w:val="both"/>
              <w:textAlignment w:val="baseline"/>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zh-CN"/>
              </w:rPr>
              <w:t>联系电话：</w:t>
            </w:r>
            <w:r>
              <w:rPr>
                <w:rFonts w:hint="eastAsia" w:ascii="仿宋_GB2312" w:hAnsi="仿宋_GB2312" w:eastAsia="仿宋_GB2312" w:cs="仿宋_GB2312"/>
                <w:color w:val="auto"/>
                <w:highlight w:val="none"/>
                <w:lang w:val="en-US" w:eastAsia="zh-CN"/>
              </w:rPr>
              <w:t>13881287172</w:t>
            </w:r>
          </w:p>
          <w:p>
            <w:pPr>
              <w:pStyle w:val="121"/>
              <w:snapToGrid w:val="0"/>
              <w:spacing w:line="36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领取地址：四川省广元市政务服务和公共资源交易中心A区5楼。</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267"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w:t>
            </w:r>
          </w:p>
        </w:tc>
        <w:tc>
          <w:tcPr>
            <w:tcW w:w="2066" w:type="dxa"/>
            <w:shd w:val="clear" w:color="auto" w:fill="FFFFFF"/>
            <w:vAlign w:val="center"/>
          </w:tcPr>
          <w:p>
            <w:pPr>
              <w:pStyle w:val="121"/>
              <w:adjustRightInd/>
              <w:jc w:val="center"/>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供应商</w:t>
            </w:r>
          </w:p>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询问及质疑</w:t>
            </w:r>
          </w:p>
        </w:tc>
        <w:tc>
          <w:tcPr>
            <w:tcW w:w="6285" w:type="dxa"/>
            <w:shd w:val="clear" w:color="auto" w:fill="FFFFFF"/>
          </w:tcPr>
          <w:p>
            <w:pPr>
              <w:tabs>
                <w:tab w:val="left" w:pos="1134"/>
                <w:tab w:val="left" w:pos="1276"/>
              </w:tabs>
              <w:spacing w:line="4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kern w:val="0"/>
                <w:sz w:val="24"/>
                <w:highlight w:val="none"/>
                <w:lang w:val="zh-CN"/>
              </w:rPr>
              <w:t>供应商</w:t>
            </w:r>
            <w:r>
              <w:rPr>
                <w:rFonts w:hint="eastAsia" w:ascii="仿宋_GB2312" w:hAnsi="仿宋_GB2312" w:eastAsia="仿宋_GB2312" w:cs="仿宋_GB2312"/>
                <w:color w:val="auto"/>
                <w:sz w:val="24"/>
                <w:highlight w:val="none"/>
              </w:rPr>
              <w:t>对磋商文件中关于</w:t>
            </w:r>
            <w:r>
              <w:rPr>
                <w:rFonts w:hint="eastAsia" w:ascii="仿宋_GB2312" w:hAnsi="仿宋_GB2312" w:eastAsia="仿宋_GB2312" w:cs="仿宋_GB2312"/>
                <w:color w:val="auto"/>
                <w:kern w:val="2"/>
                <w:sz w:val="24"/>
                <w:highlight w:val="none"/>
                <w:lang w:val="zh-CN"/>
              </w:rPr>
              <w:t>供应商</w:t>
            </w:r>
            <w:r>
              <w:rPr>
                <w:rFonts w:hint="eastAsia" w:ascii="仿宋_GB2312" w:hAnsi="仿宋_GB2312" w:eastAsia="仿宋_GB2312" w:cs="仿宋_GB2312"/>
                <w:color w:val="auto"/>
                <w:sz w:val="24"/>
                <w:highlight w:val="none"/>
              </w:rPr>
              <w:t>参加本次采购活动应当具备的条件和技术、商务及其他要求，以及评标细则、标准提出询问或质疑的，应向采购人提出。</w:t>
            </w:r>
          </w:p>
          <w:p>
            <w:pPr>
              <w:tabs>
                <w:tab w:val="left" w:pos="1134"/>
                <w:tab w:val="left" w:pos="1276"/>
              </w:tabs>
              <w:spacing w:line="4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kern w:val="0"/>
                <w:sz w:val="24"/>
                <w:highlight w:val="none"/>
                <w:lang w:val="zh-CN"/>
              </w:rPr>
              <w:t>供应商</w:t>
            </w:r>
            <w:r>
              <w:rPr>
                <w:rFonts w:hint="eastAsia" w:ascii="仿宋_GB2312" w:hAnsi="仿宋_GB2312" w:eastAsia="仿宋_GB2312" w:cs="仿宋_GB2312"/>
                <w:color w:val="auto"/>
                <w:sz w:val="24"/>
                <w:highlight w:val="none"/>
              </w:rPr>
              <w:t>对除上述磋商文件中的其他内容、采购过程及成交结果提出询问或质疑的，应向采购代理机构提出。</w:t>
            </w:r>
          </w:p>
          <w:p>
            <w:pPr>
              <w:tabs>
                <w:tab w:val="left" w:pos="1134"/>
                <w:tab w:val="left" w:pos="1276"/>
              </w:tabs>
              <w:spacing w:line="400" w:lineRule="exact"/>
              <w:ind w:firstLine="480" w:firstLineChars="200"/>
              <w:rPr>
                <w:rFonts w:hint="eastAsia" w:ascii="仿宋_GB2312" w:hAnsi="仿宋_GB2312" w:eastAsia="仿宋_GB2312" w:cs="仿宋_GB2312"/>
                <w:b w:val="0"/>
                <w:bCs w:val="0"/>
                <w:color w:val="auto"/>
                <w:sz w:val="24"/>
                <w:highlight w:val="none"/>
                <w:lang w:val="zh-CN"/>
              </w:rPr>
            </w:pPr>
            <w:r>
              <w:rPr>
                <w:rFonts w:hint="eastAsia" w:ascii="仿宋_GB2312" w:hAnsi="仿宋_GB2312" w:eastAsia="仿宋_GB2312" w:cs="仿宋_GB2312"/>
                <w:color w:val="auto"/>
                <w:sz w:val="24"/>
                <w:highlight w:val="none"/>
                <w:lang w:bidi="zh-CN"/>
              </w:rPr>
              <w:t>3.</w:t>
            </w:r>
            <w:r>
              <w:rPr>
                <w:rFonts w:hint="eastAsia" w:ascii="仿宋_GB2312" w:hAnsi="仿宋_GB2312" w:eastAsia="仿宋_GB2312" w:cs="仿宋_GB2312"/>
                <w:color w:val="auto"/>
                <w:kern w:val="2"/>
                <w:sz w:val="24"/>
                <w:highlight w:val="none"/>
                <w:lang w:val="zh-CN"/>
              </w:rPr>
              <w:t>供应商</w:t>
            </w:r>
            <w:r>
              <w:rPr>
                <w:rFonts w:hint="eastAsia" w:ascii="仿宋_GB2312" w:hAnsi="仿宋_GB2312" w:eastAsia="仿宋_GB2312" w:cs="仿宋_GB2312"/>
                <w:color w:val="auto"/>
                <w:sz w:val="24"/>
                <w:highlight w:val="none"/>
                <w:lang w:bidi="zh-CN"/>
              </w:rPr>
              <w:t>的询问、质疑由采购代理机构协助采购人进行答复。</w:t>
            </w:r>
            <w:r>
              <w:rPr>
                <w:rFonts w:hint="eastAsia" w:ascii="仿宋_GB2312" w:hAnsi="仿宋_GB2312" w:eastAsia="仿宋_GB2312" w:cs="仿宋_GB2312"/>
                <w:color w:val="auto"/>
                <w:sz w:val="24"/>
                <w:highlight w:val="none"/>
              </w:rPr>
              <w:t>本磋商文件的最终解释权由采购人享有。</w:t>
            </w:r>
          </w:p>
          <w:p>
            <w:pPr>
              <w:pStyle w:val="121"/>
              <w:adjustRightInd/>
              <w:spacing w:line="400" w:lineRule="exact"/>
              <w:ind w:firstLine="482" w:firstLineChars="200"/>
              <w:rPr>
                <w:rFonts w:ascii="仿宋_GB2312" w:hAnsi="仿宋_GB2312" w:eastAsia="仿宋_GB2312" w:cs="仿宋_GB2312"/>
                <w:color w:val="auto"/>
                <w:highlight w:val="none"/>
                <w:lang w:val="zh-CN"/>
              </w:rPr>
            </w:pPr>
            <w:r>
              <w:rPr>
                <w:rFonts w:hint="eastAsia" w:ascii="仿宋_GB2312" w:hAnsi="仿宋_GB2312" w:eastAsia="仿宋_GB2312" w:cs="仿宋_GB2312"/>
                <w:b/>
                <w:bCs/>
                <w:color w:val="auto"/>
                <w:highlight w:val="none"/>
                <w:lang w:val="zh-CN"/>
              </w:rPr>
              <w:t>注：</w:t>
            </w:r>
            <w:r>
              <w:rPr>
                <w:rFonts w:hint="eastAsia" w:ascii="仿宋_GB2312" w:hAnsi="仿宋_GB2312" w:eastAsia="仿宋_GB2312" w:cs="仿宋_GB2312"/>
                <w:color w:val="auto"/>
                <w:highlight w:val="none"/>
                <w:lang w:val="zh-CN"/>
              </w:rPr>
              <w:t>1.提出质疑的供应商应当是参与本项目采购活动的供应商。供应商已依法获取其可质疑的磋商文件的，可以对该文件提出质疑。供应商可以委托代理人进行质疑。</w:t>
            </w:r>
          </w:p>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2．供应商质疑不得超出磋商文件、采购过程、采购结果的范围。供应商须在规定质疑期内一次性提出针对同一采购程序的质疑。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711"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w:t>
            </w:r>
          </w:p>
        </w:tc>
        <w:tc>
          <w:tcPr>
            <w:tcW w:w="2066" w:type="dxa"/>
            <w:shd w:val="clear" w:color="auto" w:fill="FFFFFF"/>
            <w:vAlign w:val="center"/>
          </w:tcPr>
          <w:p>
            <w:pPr>
              <w:pStyle w:val="121"/>
              <w:adjustRightInd/>
              <w:jc w:val="center"/>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kern w:val="2"/>
                <w:highlight w:val="none"/>
                <w:lang w:val="zh-CN"/>
              </w:rPr>
              <w:t>供应商提出</w:t>
            </w:r>
            <w:r>
              <w:rPr>
                <w:rFonts w:hint="eastAsia" w:ascii="仿宋_GB2312" w:hAnsi="仿宋_GB2312" w:eastAsia="仿宋_GB2312" w:cs="仿宋_GB2312"/>
                <w:color w:val="auto"/>
                <w:kern w:val="2"/>
                <w:highlight w:val="none"/>
              </w:rPr>
              <w:t>询问和</w:t>
            </w:r>
            <w:r>
              <w:rPr>
                <w:rFonts w:hint="eastAsia" w:ascii="仿宋_GB2312" w:hAnsi="仿宋_GB2312" w:eastAsia="仿宋_GB2312" w:cs="仿宋_GB2312"/>
                <w:color w:val="auto"/>
                <w:kern w:val="2"/>
                <w:highlight w:val="none"/>
                <w:lang w:val="zh-CN"/>
              </w:rPr>
              <w:t>质疑的时间</w:t>
            </w:r>
          </w:p>
        </w:tc>
        <w:tc>
          <w:tcPr>
            <w:tcW w:w="6285" w:type="dxa"/>
            <w:shd w:val="clear" w:color="auto" w:fill="FFFFFF"/>
            <w:vAlign w:val="center"/>
          </w:tcPr>
          <w:p>
            <w:pPr>
              <w:pStyle w:val="121"/>
              <w:adjustRightInd/>
              <w:spacing w:line="400" w:lineRule="exact"/>
              <w:ind w:firstLine="480" w:firstLineChars="200"/>
              <w:rPr>
                <w:rFonts w:ascii="仿宋_GB2312" w:hAnsi="仿宋_GB2312" w:eastAsia="仿宋_GB2312" w:cs="仿宋_GB2312"/>
                <w:color w:val="auto"/>
                <w:kern w:val="2"/>
                <w:highlight w:val="none"/>
                <w:lang w:val="zh-CN"/>
              </w:rPr>
            </w:pPr>
            <w:r>
              <w:rPr>
                <w:rFonts w:hint="eastAsia" w:ascii="仿宋_GB2312" w:hAnsi="仿宋_GB2312" w:eastAsia="仿宋_GB2312" w:cs="仿宋_GB2312"/>
                <w:color w:val="auto"/>
                <w:kern w:val="2"/>
                <w:highlight w:val="none"/>
              </w:rPr>
              <w:t>1.</w:t>
            </w:r>
            <w:r>
              <w:rPr>
                <w:rFonts w:hint="eastAsia" w:ascii="仿宋_GB2312" w:hAnsi="仿宋_GB2312" w:eastAsia="仿宋_GB2312" w:cs="仿宋_GB2312"/>
                <w:color w:val="auto"/>
                <w:kern w:val="2"/>
                <w:highlight w:val="none"/>
                <w:lang w:val="zh-CN"/>
              </w:rPr>
              <w:t>对磋商文件提出询问和质疑的时间：递交响应文件截止时间前。</w:t>
            </w:r>
          </w:p>
          <w:p>
            <w:pPr>
              <w:pStyle w:val="121"/>
              <w:adjustRightInd/>
              <w:spacing w:line="400" w:lineRule="exact"/>
              <w:ind w:firstLine="480" w:firstLineChars="200"/>
              <w:rPr>
                <w:rFonts w:ascii="仿宋_GB2312" w:hAnsi="仿宋_GB2312" w:eastAsia="仿宋_GB2312" w:cs="仿宋_GB2312"/>
                <w:color w:val="auto"/>
                <w:kern w:val="2"/>
                <w:highlight w:val="none"/>
                <w:lang w:val="zh-CN"/>
              </w:rPr>
            </w:pPr>
            <w:r>
              <w:rPr>
                <w:rFonts w:hint="eastAsia" w:ascii="仿宋_GB2312" w:hAnsi="仿宋_GB2312" w:eastAsia="仿宋_GB2312" w:cs="仿宋_GB2312"/>
                <w:color w:val="auto"/>
                <w:kern w:val="2"/>
                <w:highlight w:val="none"/>
              </w:rPr>
              <w:t>2.</w:t>
            </w:r>
            <w:r>
              <w:rPr>
                <w:rFonts w:hint="eastAsia" w:ascii="仿宋_GB2312" w:hAnsi="仿宋_GB2312" w:eastAsia="仿宋_GB2312" w:cs="仿宋_GB2312"/>
                <w:color w:val="auto"/>
                <w:kern w:val="2"/>
                <w:highlight w:val="none"/>
                <w:lang w:val="zh-CN"/>
              </w:rPr>
              <w:t>对采购结果提出</w:t>
            </w:r>
            <w:r>
              <w:rPr>
                <w:rFonts w:hint="eastAsia" w:ascii="仿宋_GB2312" w:hAnsi="仿宋_GB2312" w:eastAsia="仿宋_GB2312" w:cs="仿宋_GB2312"/>
                <w:color w:val="auto"/>
                <w:kern w:val="2"/>
                <w:highlight w:val="none"/>
              </w:rPr>
              <w:t>异议的，应在</w:t>
            </w:r>
            <w:r>
              <w:rPr>
                <w:rFonts w:hint="eastAsia" w:ascii="仿宋_GB2312" w:hAnsi="仿宋_GB2312" w:eastAsia="仿宋_GB2312" w:cs="仿宋_GB2312"/>
                <w:color w:val="auto"/>
                <w:kern w:val="2"/>
                <w:highlight w:val="none"/>
                <w:lang w:val="zh-CN"/>
              </w:rPr>
              <w:t>成交结果公示期内</w:t>
            </w:r>
            <w:r>
              <w:rPr>
                <w:rFonts w:hint="eastAsia" w:ascii="仿宋_GB2312" w:hAnsi="仿宋_GB2312" w:eastAsia="仿宋_GB2312" w:cs="仿宋_GB2312"/>
                <w:color w:val="auto"/>
                <w:kern w:val="2"/>
                <w:highlight w:val="none"/>
              </w:rPr>
              <w:t>提出</w:t>
            </w:r>
            <w:r>
              <w:rPr>
                <w:rFonts w:hint="eastAsia" w:ascii="仿宋_GB2312" w:hAnsi="仿宋_GB2312" w:eastAsia="仿宋_GB2312" w:cs="仿宋_GB2312"/>
                <w:color w:val="auto"/>
                <w:kern w:val="2"/>
                <w:highlight w:val="none"/>
                <w:lang w:val="zh-CN"/>
              </w:rPr>
              <w:t>。</w:t>
            </w:r>
          </w:p>
          <w:p>
            <w:pPr>
              <w:pStyle w:val="121"/>
              <w:adjustRightInd/>
              <w:spacing w:line="400" w:lineRule="exact"/>
              <w:ind w:firstLine="480" w:firstLineChars="200"/>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kern w:val="2"/>
                <w:highlight w:val="none"/>
              </w:rPr>
              <w:t>超过上述时限的，采购人或采购代理机构不予受理。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75" w:hRule="exact"/>
          <w:tblHeader/>
          <w:jc w:val="center"/>
        </w:trPr>
        <w:tc>
          <w:tcPr>
            <w:tcW w:w="634" w:type="dxa"/>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w:t>
            </w:r>
          </w:p>
        </w:tc>
        <w:tc>
          <w:tcPr>
            <w:tcW w:w="2066" w:type="dxa"/>
            <w:shd w:val="clear" w:color="auto" w:fill="FFFFFF"/>
            <w:vAlign w:val="center"/>
          </w:tcPr>
          <w:p>
            <w:pPr>
              <w:pStyle w:val="121"/>
              <w:spacing w:line="400" w:lineRule="exact"/>
              <w:jc w:val="center"/>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考察现场、标前答疑会</w:t>
            </w:r>
          </w:p>
        </w:tc>
        <w:tc>
          <w:tcPr>
            <w:tcW w:w="6285" w:type="dxa"/>
            <w:shd w:val="clear" w:color="auto" w:fill="FFFFFF"/>
            <w:vAlign w:val="center"/>
          </w:tcPr>
          <w:p>
            <w:pPr>
              <w:pStyle w:val="121"/>
              <w:spacing w:line="400" w:lineRule="exact"/>
              <w:ind w:firstLine="480" w:firstLineChars="200"/>
              <w:jc w:val="both"/>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不组织。供应商认为有必要可自行踏勘现场，费用自理。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22" w:hRule="atLeast"/>
          <w:tblHeader/>
          <w:jc w:val="center"/>
        </w:trPr>
        <w:tc>
          <w:tcPr>
            <w:tcW w:w="634" w:type="dxa"/>
            <w:tcBorders>
              <w:top w:val="single" w:color="auto" w:sz="8" w:space="0"/>
              <w:bottom w:val="single" w:color="auto" w:sz="8" w:space="0"/>
              <w:right w:val="single" w:color="auto" w:sz="8" w:space="0"/>
            </w:tcBorders>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w:t>
            </w:r>
          </w:p>
        </w:tc>
        <w:tc>
          <w:tcPr>
            <w:tcW w:w="206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21"/>
              <w:spacing w:line="400" w:lineRule="exact"/>
              <w:jc w:val="center"/>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合同分包</w:t>
            </w:r>
          </w:p>
        </w:tc>
        <w:tc>
          <w:tcPr>
            <w:tcW w:w="6285" w:type="dxa"/>
            <w:tcBorders>
              <w:top w:val="single" w:color="auto" w:sz="8" w:space="0"/>
              <w:left w:val="single" w:color="auto" w:sz="8" w:space="0"/>
              <w:bottom w:val="single" w:color="auto" w:sz="8" w:space="0"/>
            </w:tcBorders>
            <w:shd w:val="clear" w:color="auto" w:fill="FFFFFF"/>
            <w:vAlign w:val="center"/>
          </w:tcPr>
          <w:p>
            <w:pPr>
              <w:pStyle w:val="121"/>
              <w:spacing w:line="400" w:lineRule="exact"/>
              <w:ind w:firstLine="480" w:firstLineChars="200"/>
              <w:jc w:val="both"/>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本项目</w:t>
            </w:r>
            <w:r>
              <w:rPr>
                <w:rFonts w:hint="eastAsia" w:ascii="仿宋_GB2312" w:hAnsi="仿宋_GB2312" w:eastAsia="仿宋_GB2312" w:cs="仿宋_GB2312"/>
                <w:color w:val="auto"/>
                <w:highlight w:val="none"/>
                <w:lang w:val="en-US" w:eastAsia="zh-CN"/>
              </w:rPr>
              <w:t>不</w:t>
            </w:r>
            <w:r>
              <w:rPr>
                <w:rFonts w:hint="eastAsia" w:ascii="仿宋_GB2312" w:hAnsi="仿宋_GB2312" w:eastAsia="仿宋_GB2312" w:cs="仿宋_GB2312"/>
                <w:color w:val="auto"/>
                <w:highlight w:val="none"/>
                <w:lang w:val="zh-CN"/>
              </w:rPr>
              <w:t>接受合同分包。</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68" w:hRule="atLeast"/>
          <w:tblHeader/>
          <w:jc w:val="center"/>
        </w:trPr>
        <w:tc>
          <w:tcPr>
            <w:tcW w:w="634" w:type="dxa"/>
            <w:tcBorders>
              <w:top w:val="single" w:color="auto" w:sz="8" w:space="0"/>
              <w:bottom w:val="single" w:color="auto" w:sz="8" w:space="0"/>
              <w:right w:val="single" w:color="auto" w:sz="8" w:space="0"/>
            </w:tcBorders>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15</w:t>
            </w:r>
          </w:p>
        </w:tc>
        <w:tc>
          <w:tcPr>
            <w:tcW w:w="206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21"/>
              <w:spacing w:line="400" w:lineRule="exact"/>
              <w:jc w:val="center"/>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声明承诺提醒</w:t>
            </w:r>
          </w:p>
        </w:tc>
        <w:tc>
          <w:tcPr>
            <w:tcW w:w="6285" w:type="dxa"/>
            <w:tcBorders>
              <w:top w:val="single" w:color="auto" w:sz="8" w:space="0"/>
              <w:left w:val="single" w:color="auto" w:sz="8" w:space="0"/>
              <w:bottom w:val="single" w:color="auto" w:sz="8" w:space="0"/>
            </w:tcBorders>
            <w:shd w:val="clear" w:color="auto" w:fill="FFFFFF"/>
            <w:vAlign w:val="center"/>
          </w:tcPr>
          <w:p>
            <w:pPr>
              <w:pStyle w:val="121"/>
              <w:spacing w:line="400" w:lineRule="exact"/>
              <w:ind w:firstLine="480" w:firstLineChars="200"/>
              <w:jc w:val="both"/>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548" w:hRule="atLeast"/>
          <w:tblHeader/>
          <w:jc w:val="center"/>
        </w:trPr>
        <w:tc>
          <w:tcPr>
            <w:tcW w:w="634" w:type="dxa"/>
            <w:tcBorders>
              <w:top w:val="single" w:color="auto" w:sz="8" w:space="0"/>
              <w:bottom w:val="single" w:color="auto" w:sz="8" w:space="0"/>
              <w:right w:val="single" w:color="auto" w:sz="8" w:space="0"/>
            </w:tcBorders>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w:t>
            </w:r>
          </w:p>
        </w:tc>
        <w:tc>
          <w:tcPr>
            <w:tcW w:w="206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服务费</w:t>
            </w:r>
          </w:p>
        </w:tc>
        <w:tc>
          <w:tcPr>
            <w:tcW w:w="6285" w:type="dxa"/>
            <w:tcBorders>
              <w:top w:val="single" w:color="auto" w:sz="8" w:space="0"/>
              <w:left w:val="single" w:color="auto" w:sz="8" w:space="0"/>
              <w:bottom w:val="single" w:color="auto" w:sz="8" w:space="0"/>
            </w:tcBorders>
            <w:shd w:val="clear" w:color="auto" w:fill="FFFFFF"/>
            <w:vAlign w:val="center"/>
          </w:tcPr>
          <w:p>
            <w:pPr>
              <w:pStyle w:val="121"/>
              <w:snapToGrid w:val="0"/>
              <w:spacing w:line="400" w:lineRule="exact"/>
              <w:ind w:firstLine="480" w:firstLineChars="200"/>
              <w:jc w:val="both"/>
              <w:textAlignment w:val="baseline"/>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eastAsia="zh-CN"/>
              </w:rPr>
              <w:t>无</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03" w:hRule="atLeast"/>
          <w:tblHeader/>
          <w:jc w:val="center"/>
        </w:trPr>
        <w:tc>
          <w:tcPr>
            <w:tcW w:w="634" w:type="dxa"/>
            <w:tcBorders>
              <w:top w:val="single" w:color="auto" w:sz="8" w:space="0"/>
              <w:bottom w:val="single" w:color="auto" w:sz="8" w:space="0"/>
              <w:right w:val="single" w:color="auto" w:sz="8" w:space="0"/>
            </w:tcBorders>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kern w:val="2"/>
                <w:sz w:val="21"/>
                <w:highlight w:val="none"/>
              </w:rPr>
            </w:pPr>
            <w:r>
              <w:rPr>
                <w:rFonts w:hint="eastAsia" w:ascii="仿宋_GB2312" w:hAnsi="仿宋_GB2312" w:eastAsia="仿宋_GB2312" w:cs="仿宋_GB2312"/>
                <w:color w:val="auto"/>
                <w:highlight w:val="none"/>
              </w:rPr>
              <w:t>17</w:t>
            </w:r>
          </w:p>
        </w:tc>
        <w:tc>
          <w:tcPr>
            <w:tcW w:w="206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21"/>
              <w:snapToGrid w:val="0"/>
              <w:spacing w:line="400" w:lineRule="exact"/>
              <w:jc w:val="center"/>
              <w:textAlignment w:val="baseline"/>
              <w:rPr>
                <w:rFonts w:ascii="仿宋_GB2312" w:hAnsi="仿宋_GB2312" w:eastAsia="仿宋_GB2312" w:cs="仿宋_GB2312"/>
                <w:color w:val="auto"/>
                <w:highlight w:val="none"/>
                <w:lang w:val="zh-CN"/>
              </w:rPr>
            </w:pPr>
            <w:r>
              <w:rPr>
                <w:rFonts w:hint="eastAsia" w:ascii="仿宋" w:hAnsi="仿宋" w:eastAsia="仿宋" w:cs="仿宋"/>
                <w:b/>
                <w:bCs/>
                <w:color w:val="auto"/>
                <w:highlight w:val="none"/>
              </w:rPr>
              <w:t>特别提醒</w:t>
            </w:r>
          </w:p>
        </w:tc>
        <w:tc>
          <w:tcPr>
            <w:tcW w:w="6285" w:type="dxa"/>
            <w:tcBorders>
              <w:top w:val="single" w:color="auto" w:sz="8" w:space="0"/>
              <w:left w:val="single" w:color="auto" w:sz="8" w:space="0"/>
              <w:bottom w:val="single" w:color="auto" w:sz="8" w:space="0"/>
            </w:tcBorders>
            <w:shd w:val="clear" w:color="auto" w:fill="FFFFFF"/>
            <w:vAlign w:val="center"/>
          </w:tcPr>
          <w:p>
            <w:pPr>
              <w:pStyle w:val="121"/>
              <w:spacing w:line="400" w:lineRule="exact"/>
              <w:ind w:firstLine="480" w:firstLineChars="200"/>
              <w:jc w:val="both"/>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递交响应文件的同时提供手持件</w:t>
            </w:r>
            <w:r>
              <w:rPr>
                <w:rFonts w:hint="eastAsia" w:ascii="仿宋_GB2312" w:hAnsi="仿宋_GB2312" w:eastAsia="仿宋_GB2312" w:cs="仿宋_GB2312"/>
                <w:color w:val="auto"/>
                <w:highlight w:val="none"/>
                <w:lang w:val="zh-CN"/>
              </w:rPr>
              <w:t>一份（非法定代表人参</w:t>
            </w:r>
            <w:r>
              <w:rPr>
                <w:rFonts w:hint="eastAsia" w:ascii="仿宋_GB2312" w:hAnsi="仿宋_GB2312" w:eastAsia="仿宋_GB2312" w:cs="仿宋_GB2312"/>
                <w:color w:val="auto"/>
                <w:highlight w:val="none"/>
              </w:rPr>
              <w:t>递交响应文件时</w:t>
            </w:r>
            <w:r>
              <w:rPr>
                <w:rFonts w:hint="eastAsia" w:ascii="仿宋_GB2312" w:hAnsi="仿宋_GB2312" w:eastAsia="仿宋_GB2312" w:cs="仿宋_GB2312"/>
                <w:color w:val="auto"/>
                <w:highlight w:val="none"/>
                <w:lang w:val="zh-CN"/>
              </w:rPr>
              <w:t>提供法定代表人身份证、授权代表身份证复印件加盖公章，法定代表人授权书</w:t>
            </w:r>
            <w:r>
              <w:rPr>
                <w:rFonts w:hint="eastAsia" w:ascii="仿宋_GB2312" w:hAnsi="仿宋_GB2312" w:eastAsia="仿宋_GB2312" w:cs="仿宋_GB2312"/>
                <w:color w:val="auto"/>
                <w:highlight w:val="none"/>
              </w:rPr>
              <w:t>原件</w:t>
            </w:r>
            <w:r>
              <w:rPr>
                <w:rFonts w:hint="eastAsia" w:ascii="仿宋_GB2312" w:hAnsi="仿宋_GB2312" w:eastAsia="仿宋_GB2312" w:cs="仿宋_GB2312"/>
                <w:color w:val="auto"/>
                <w:highlight w:val="none"/>
                <w:lang w:val="zh-CN"/>
              </w:rPr>
              <w:t>加盖公章，授权代表身份证原件查验；法定代表人</w:t>
            </w:r>
            <w:r>
              <w:rPr>
                <w:rFonts w:hint="eastAsia" w:ascii="仿宋_GB2312" w:hAnsi="仿宋_GB2312" w:eastAsia="仿宋_GB2312" w:cs="仿宋_GB2312"/>
                <w:color w:val="auto"/>
                <w:highlight w:val="none"/>
              </w:rPr>
              <w:t>递交响应文件时</w:t>
            </w:r>
            <w:r>
              <w:rPr>
                <w:rFonts w:hint="eastAsia" w:ascii="仿宋_GB2312" w:hAnsi="仿宋_GB2312" w:eastAsia="仿宋_GB2312" w:cs="仿宋_GB2312"/>
                <w:color w:val="auto"/>
                <w:highlight w:val="none"/>
                <w:lang w:val="zh-CN"/>
              </w:rPr>
              <w:t>提供身份证复印件加盖公章，法定代表人身份证明</w:t>
            </w:r>
            <w:r>
              <w:rPr>
                <w:rFonts w:hint="eastAsia" w:ascii="仿宋_GB2312" w:hAnsi="仿宋_GB2312" w:eastAsia="仿宋_GB2312" w:cs="仿宋_GB2312"/>
                <w:color w:val="auto"/>
                <w:highlight w:val="none"/>
              </w:rPr>
              <w:t>原件加盖公章，</w:t>
            </w:r>
            <w:r>
              <w:rPr>
                <w:rFonts w:hint="eastAsia" w:ascii="仿宋_GB2312" w:hAnsi="仿宋_GB2312" w:eastAsia="仿宋_GB2312" w:cs="仿宋_GB2312"/>
                <w:color w:val="auto"/>
                <w:highlight w:val="none"/>
                <w:lang w:val="zh-CN"/>
              </w:rPr>
              <w:t>身份证原件查验。）</w:t>
            </w:r>
          </w:p>
          <w:p>
            <w:pPr>
              <w:pStyle w:val="121"/>
              <w:spacing w:line="400" w:lineRule="exact"/>
              <w:ind w:firstLine="480" w:firstLineChars="200"/>
              <w:jc w:val="both"/>
              <w:rPr>
                <w:rFonts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注：单独递交给采购代理机构，不需要密封。</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03" w:hRule="atLeast"/>
          <w:tblHeader/>
          <w:jc w:val="center"/>
        </w:trPr>
        <w:tc>
          <w:tcPr>
            <w:tcW w:w="634" w:type="dxa"/>
            <w:tcBorders>
              <w:top w:val="single" w:color="auto" w:sz="8" w:space="0"/>
              <w:bottom w:val="single" w:color="auto" w:sz="8" w:space="0"/>
              <w:right w:val="single" w:color="auto" w:sz="8" w:space="0"/>
            </w:tcBorders>
            <w:shd w:val="clear" w:color="auto" w:fill="FFFFFF"/>
            <w:vAlign w:val="center"/>
          </w:tcPr>
          <w:p>
            <w:pPr>
              <w:spacing w:line="40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18</w:t>
            </w:r>
          </w:p>
        </w:tc>
        <w:tc>
          <w:tcPr>
            <w:tcW w:w="206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21"/>
              <w:spacing w:line="400" w:lineRule="exact"/>
              <w:jc w:val="center"/>
              <w:rPr>
                <w:rFonts w:ascii="仿宋_GB2312" w:hAnsi="仿宋_GB2312" w:eastAsia="仿宋_GB2312" w:cs="仿宋_GB2312"/>
                <w:color w:val="auto"/>
                <w:kern w:val="2"/>
                <w:highlight w:val="none"/>
              </w:rPr>
            </w:pPr>
            <w:r>
              <w:rPr>
                <w:rFonts w:hint="eastAsia" w:ascii="仿宋_GB2312" w:hAnsi="仿宋_GB2312" w:eastAsia="仿宋_GB2312" w:cs="仿宋_GB2312"/>
                <w:color w:val="auto"/>
                <w:kern w:val="2"/>
                <w:highlight w:val="none"/>
              </w:rPr>
              <w:t>其他</w:t>
            </w:r>
          </w:p>
        </w:tc>
        <w:tc>
          <w:tcPr>
            <w:tcW w:w="6285" w:type="dxa"/>
            <w:tcBorders>
              <w:top w:val="single" w:color="auto" w:sz="8" w:space="0"/>
              <w:left w:val="single" w:color="auto" w:sz="8" w:space="0"/>
              <w:bottom w:val="single" w:color="auto" w:sz="8" w:space="0"/>
            </w:tcBorders>
            <w:shd w:val="clear" w:color="auto" w:fill="FFFFFF"/>
            <w:vAlign w:val="center"/>
          </w:tcPr>
          <w:p>
            <w:pPr>
              <w:pStyle w:val="121"/>
              <w:adjustRightInd/>
              <w:spacing w:line="360" w:lineRule="exact"/>
              <w:ind w:firstLine="482" w:firstLineChars="200"/>
              <w:jc w:val="both"/>
              <w:rPr>
                <w:rFonts w:ascii="仿宋_GB2312" w:hAnsi="仿宋_GB2312" w:eastAsia="仿宋_GB2312" w:cs="仿宋_GB2312"/>
                <w:b/>
                <w:color w:val="auto"/>
                <w:kern w:val="2"/>
                <w:highlight w:val="none"/>
              </w:rPr>
            </w:pPr>
            <w:r>
              <w:rPr>
                <w:rFonts w:hint="eastAsia" w:ascii="仿宋_GB2312" w:hAnsi="仿宋_GB2312" w:eastAsia="仿宋_GB2312" w:cs="仿宋_GB2312"/>
                <w:b/>
                <w:color w:val="auto"/>
                <w:kern w:val="2"/>
                <w:highlight w:val="none"/>
              </w:rPr>
              <w:t>1．磋商文件其他内容与供应商须知附表内容不一致的，以供应商须知附表规定的内容为准。</w:t>
            </w:r>
          </w:p>
          <w:p>
            <w:pPr>
              <w:pStyle w:val="121"/>
              <w:adjustRightInd/>
              <w:spacing w:line="360" w:lineRule="exact"/>
              <w:ind w:firstLine="482" w:firstLineChars="200"/>
              <w:jc w:val="both"/>
              <w:rPr>
                <w:rFonts w:ascii="仿宋_GB2312" w:hAnsi="仿宋_GB2312" w:eastAsia="仿宋_GB2312" w:cs="仿宋_GB2312"/>
                <w:b/>
                <w:color w:val="auto"/>
                <w:kern w:val="2"/>
                <w:highlight w:val="none"/>
              </w:rPr>
            </w:pPr>
            <w:r>
              <w:rPr>
                <w:rFonts w:hint="eastAsia" w:ascii="仿宋_GB2312" w:hAnsi="仿宋_GB2312" w:eastAsia="仿宋_GB2312" w:cs="仿宋_GB2312"/>
                <w:b/>
                <w:color w:val="auto"/>
                <w:kern w:val="2"/>
                <w:highlight w:val="none"/>
              </w:rPr>
              <w:t>2．本次采购非政府采购，非依法必须招标的工程建设项目。</w:t>
            </w:r>
          </w:p>
          <w:p>
            <w:pPr>
              <w:pStyle w:val="121"/>
              <w:adjustRightInd/>
              <w:spacing w:line="360" w:lineRule="exact"/>
              <w:ind w:firstLine="482" w:firstLineChars="200"/>
              <w:jc w:val="both"/>
              <w:rPr>
                <w:rFonts w:ascii="仿宋_GB2312" w:hAnsi="仿宋_GB2312" w:eastAsia="仿宋_GB2312" w:cs="仿宋_GB2312"/>
                <w:b/>
                <w:color w:val="auto"/>
                <w:kern w:val="2"/>
                <w:highlight w:val="none"/>
              </w:rPr>
            </w:pPr>
            <w:r>
              <w:rPr>
                <w:rFonts w:hint="eastAsia" w:ascii="仿宋_GB2312" w:hAnsi="仿宋_GB2312" w:eastAsia="仿宋_GB2312" w:cs="仿宋_GB2312"/>
                <w:b/>
                <w:color w:val="auto"/>
                <w:kern w:val="2"/>
                <w:highlight w:val="none"/>
              </w:rPr>
              <w:t>3．本磋商文件由采购人负责解释。</w:t>
            </w:r>
          </w:p>
          <w:p>
            <w:pPr>
              <w:pStyle w:val="121"/>
              <w:adjustRightInd/>
              <w:spacing w:line="360" w:lineRule="exact"/>
              <w:ind w:firstLine="482" w:firstLineChars="200"/>
              <w:jc w:val="both"/>
              <w:rPr>
                <w:rFonts w:ascii="仿宋_GB2312" w:hAnsi="仿宋_GB2312" w:eastAsia="仿宋_GB2312" w:cs="仿宋_GB2312"/>
                <w:b/>
                <w:color w:val="auto"/>
                <w:kern w:val="2"/>
                <w:highlight w:val="none"/>
              </w:rPr>
            </w:pPr>
            <w:r>
              <w:rPr>
                <w:rFonts w:hint="eastAsia" w:ascii="仿宋_GB2312" w:hAnsi="仿宋_GB2312" w:eastAsia="仿宋_GB2312" w:cs="仿宋_GB2312"/>
                <w:b/>
                <w:color w:val="auto"/>
                <w:kern w:val="2"/>
                <w:highlight w:val="none"/>
              </w:rPr>
              <w:t>4．各供应商在磋商过程中有相关咨询事项的，应注意其自身身份的保密，若因供应商自身原因，造成其磋商申请信息泄漏的，由其承担相应责任。</w:t>
            </w:r>
          </w:p>
          <w:p>
            <w:pPr>
              <w:pStyle w:val="121"/>
              <w:adjustRightInd/>
              <w:spacing w:line="360" w:lineRule="exact"/>
              <w:ind w:firstLine="482" w:firstLineChars="200"/>
              <w:jc w:val="both"/>
              <w:rPr>
                <w:rFonts w:ascii="仿宋_GB2312" w:hAnsi="仿宋_GB2312" w:eastAsia="仿宋_GB2312" w:cs="仿宋_GB2312"/>
                <w:b/>
                <w:color w:val="auto"/>
                <w:kern w:val="2"/>
                <w:highlight w:val="none"/>
              </w:rPr>
            </w:pPr>
            <w:r>
              <w:rPr>
                <w:rFonts w:hint="eastAsia" w:ascii="仿宋_GB2312" w:hAnsi="仿宋_GB2312" w:eastAsia="仿宋_GB2312" w:cs="仿宋_GB2312"/>
                <w:b/>
                <w:color w:val="auto"/>
                <w:kern w:val="2"/>
                <w:highlight w:val="none"/>
              </w:rPr>
              <w:t>5．供应商对磋商文件咨询</w:t>
            </w:r>
          </w:p>
          <w:p>
            <w:pPr>
              <w:pStyle w:val="121"/>
              <w:spacing w:line="360" w:lineRule="exact"/>
              <w:ind w:firstLine="482" w:firstLineChars="20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b/>
                <w:color w:val="auto"/>
                <w:kern w:val="2"/>
                <w:highlight w:val="none"/>
              </w:rPr>
              <w:t>联系人：</w:t>
            </w:r>
            <w:r>
              <w:rPr>
                <w:rFonts w:hint="eastAsia" w:ascii="仿宋_GB2312" w:hAnsi="仿宋_GB2312" w:eastAsia="仿宋_GB2312" w:cs="仿宋_GB2312"/>
                <w:bCs/>
                <w:color w:val="auto"/>
                <w:kern w:val="2"/>
                <w:highlight w:val="none"/>
                <w:lang w:val="en-US" w:eastAsia="zh-CN"/>
              </w:rPr>
              <w:t>黎先生</w:t>
            </w:r>
            <w:r>
              <w:rPr>
                <w:rFonts w:hint="eastAsia" w:ascii="仿宋_GB2312" w:hAnsi="仿宋_GB2312" w:eastAsia="仿宋_GB2312" w:cs="仿宋_GB2312"/>
                <w:color w:val="auto"/>
                <w:highlight w:val="none"/>
                <w:lang w:val="zh-CN"/>
              </w:rPr>
              <w:t>，联系电话：</w:t>
            </w:r>
            <w:r>
              <w:rPr>
                <w:rFonts w:hint="eastAsia" w:ascii="仿宋_GB2312" w:hAnsi="仿宋_GB2312" w:eastAsia="仿宋_GB2312" w:cs="仿宋_GB2312"/>
                <w:color w:val="auto"/>
                <w:highlight w:val="none"/>
                <w:lang w:val="en-US" w:eastAsia="zh-CN"/>
              </w:rPr>
              <w:t>13881287172</w:t>
            </w:r>
          </w:p>
          <w:p>
            <w:pPr>
              <w:pStyle w:val="121"/>
              <w:spacing w:line="360" w:lineRule="exact"/>
              <w:ind w:firstLine="482" w:firstLineChars="200"/>
              <w:jc w:val="both"/>
              <w:rPr>
                <w:rFonts w:ascii="仿宋_GB2312" w:hAnsi="仿宋_GB2312" w:eastAsia="仿宋_GB2312" w:cs="仿宋_GB2312"/>
                <w:b/>
                <w:color w:val="auto"/>
                <w:kern w:val="2"/>
                <w:highlight w:val="none"/>
              </w:rPr>
            </w:pPr>
            <w:r>
              <w:rPr>
                <w:rFonts w:hint="eastAsia" w:ascii="仿宋_GB2312" w:hAnsi="仿宋_GB2312" w:eastAsia="仿宋_GB2312" w:cs="仿宋_GB2312"/>
                <w:b/>
                <w:color w:val="auto"/>
                <w:kern w:val="2"/>
                <w:highlight w:val="none"/>
              </w:rPr>
              <w:t>6.</w:t>
            </w:r>
            <w:r>
              <w:rPr>
                <w:rFonts w:hint="eastAsia" w:ascii="仿宋_GB2312" w:hAnsi="仿宋_GB2312" w:eastAsia="仿宋_GB2312" w:cs="仿宋_GB2312"/>
                <w:color w:val="auto"/>
                <w:highlight w:val="none"/>
                <w:lang w:val="zh-CN"/>
              </w:rPr>
              <w:t>为了提高评审效率，评审中需要供应商进行现场磋商、报价或书面答疑、澄清的，采购人或采购代理机构按供应商预留的联系方式通知供应商，供应商应当在自接到通知后</w:t>
            </w:r>
            <w:r>
              <w:rPr>
                <w:rFonts w:hint="eastAsia" w:ascii="仿宋_GB2312" w:hAnsi="仿宋_GB2312" w:eastAsia="仿宋_GB2312" w:cs="仿宋_GB2312"/>
                <w:b w:val="0"/>
                <w:bCs w:val="0"/>
                <w:color w:val="auto"/>
                <w:highlight w:val="none"/>
                <w:u w:val="none"/>
                <w:lang w:val="zh-CN"/>
              </w:rPr>
              <w:t>30分钟</w:t>
            </w:r>
            <w:r>
              <w:rPr>
                <w:rFonts w:hint="eastAsia" w:ascii="仿宋_GB2312" w:hAnsi="仿宋_GB2312" w:eastAsia="仿宋_GB2312" w:cs="仿宋_GB2312"/>
                <w:color w:val="auto"/>
                <w:highlight w:val="none"/>
                <w:lang w:val="zh-CN"/>
              </w:rPr>
              <w:t>内到达评审现场接受磋商、报价或答疑、澄清。供应商未在规定时间内到达现场磋商、报价或答疑、澄清的，视为放弃（或拒绝）磋商、报价或答疑、澄清权，磋商小组有权作出不利于供应商的评判。若按供应商预留的联系方式无法通知其到场的，视为放弃（或拒绝）磋商、报价或答疑、澄清权，一切后果由供应商自行承担。</w:t>
            </w:r>
          </w:p>
        </w:tc>
      </w:tr>
    </w:tbl>
    <w:p>
      <w:pPr>
        <w:spacing w:before="54"/>
        <w:ind w:right="796" w:firstLine="480" w:firstLineChars="200"/>
        <w:rPr>
          <w:color w:val="auto"/>
          <w:highlight w:val="none"/>
        </w:rPr>
      </w:pPr>
      <w:r>
        <w:rPr>
          <w:rFonts w:ascii="仿宋" w:hAnsi="仿宋" w:eastAsia="仿宋" w:cs="仿宋"/>
          <w:color w:val="auto"/>
          <w:sz w:val="24"/>
          <w:highlight w:val="none"/>
        </w:rPr>
        <w:br w:type="page"/>
      </w:r>
    </w:p>
    <w:p>
      <w:pPr>
        <w:widowControl/>
        <w:snapToGrid w:val="0"/>
        <w:textAlignment w:val="baseline"/>
        <w:rPr>
          <w:rFonts w:ascii="仿宋_GB2312" w:hAnsi="仿宋_GB2312" w:eastAsia="仿宋_GB2312" w:cs="仿宋_GB2312"/>
          <w:color w:val="auto"/>
          <w:sz w:val="28"/>
          <w:szCs w:val="28"/>
          <w:highlight w:val="none"/>
        </w:rPr>
      </w:pPr>
    </w:p>
    <w:p>
      <w:pPr>
        <w:pStyle w:val="4"/>
        <w:keepLines w:val="0"/>
        <w:snapToGrid w:val="0"/>
        <w:spacing w:before="0" w:after="156" w:line="240" w:lineRule="atLeast"/>
        <w:jc w:val="center"/>
        <w:textAlignment w:val="baseline"/>
        <w:rPr>
          <w:rFonts w:ascii="仿宋_GB2312" w:hAnsi="仿宋_GB2312" w:eastAsia="仿宋_GB2312" w:cs="仿宋_GB2312"/>
          <w:color w:val="auto"/>
          <w:sz w:val="28"/>
          <w:szCs w:val="28"/>
          <w:highlight w:val="none"/>
        </w:rPr>
      </w:pPr>
      <w:bookmarkStart w:id="61" w:name="_Toc22385"/>
      <w:bookmarkStart w:id="62" w:name="_Toc18324"/>
      <w:bookmarkStart w:id="63" w:name="_Toc20308"/>
      <w:bookmarkStart w:id="64" w:name="_Toc11765"/>
      <w:bookmarkStart w:id="65" w:name="_Toc32093"/>
      <w:bookmarkStart w:id="66" w:name="_Toc24801"/>
      <w:r>
        <w:rPr>
          <w:rFonts w:hint="eastAsia" w:ascii="仿宋_GB2312" w:hAnsi="仿宋_GB2312" w:eastAsia="仿宋_GB2312" w:cs="仿宋_GB2312"/>
          <w:color w:val="auto"/>
          <w:sz w:val="28"/>
          <w:szCs w:val="28"/>
          <w:highlight w:val="none"/>
        </w:rPr>
        <w:t>二、总  则</w:t>
      </w:r>
      <w:bookmarkEnd w:id="61"/>
      <w:bookmarkEnd w:id="62"/>
      <w:bookmarkEnd w:id="63"/>
      <w:bookmarkEnd w:id="64"/>
      <w:bookmarkEnd w:id="65"/>
      <w:bookmarkEnd w:id="66"/>
      <w:bookmarkStart w:id="67" w:name="_Toc183582205"/>
      <w:bookmarkStart w:id="68" w:name="_Toc183682342"/>
      <w:bookmarkStart w:id="69" w:name="_Toc217446034"/>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bCs/>
          <w:color w:val="auto"/>
          <w:sz w:val="28"/>
          <w:szCs w:val="28"/>
          <w:highlight w:val="none"/>
        </w:rPr>
        <w:t>1.</w:t>
      </w:r>
      <w:bookmarkEnd w:id="67"/>
      <w:bookmarkEnd w:id="68"/>
      <w:r>
        <w:rPr>
          <w:rFonts w:hint="eastAsia" w:ascii="仿宋_GB2312" w:hAnsi="仿宋_GB2312" w:eastAsia="仿宋_GB2312" w:cs="仿宋_GB2312"/>
          <w:b/>
          <w:color w:val="auto"/>
          <w:sz w:val="28"/>
          <w:szCs w:val="28"/>
          <w:highlight w:val="none"/>
        </w:rPr>
        <w:t>适用范围</w:t>
      </w:r>
      <w:bookmarkEnd w:id="69"/>
    </w:p>
    <w:p>
      <w:pPr>
        <w:tabs>
          <w:tab w:val="left" w:pos="7665"/>
        </w:tabs>
        <w:adjustRightInd w:val="0"/>
        <w:snapToGri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本磋商文件仅适用于本次磋商所叙述的工程采购。</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本磋商文件的解释权归采购人和采购代理机构所有。</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70" w:name="_Toc183682343"/>
      <w:bookmarkStart w:id="71" w:name="_Toc217446035"/>
      <w:bookmarkStart w:id="72" w:name="_Toc183582206"/>
      <w:r>
        <w:rPr>
          <w:rFonts w:hint="eastAsia" w:ascii="仿宋_GB2312" w:hAnsi="仿宋_GB2312" w:eastAsia="仿宋_GB2312" w:cs="仿宋_GB2312"/>
          <w:b/>
          <w:bCs/>
          <w:color w:val="auto"/>
          <w:sz w:val="28"/>
          <w:szCs w:val="28"/>
          <w:highlight w:val="none"/>
        </w:rPr>
        <w:t>2.</w:t>
      </w:r>
      <w:bookmarkEnd w:id="70"/>
      <w:bookmarkEnd w:id="71"/>
      <w:bookmarkEnd w:id="72"/>
      <w:r>
        <w:rPr>
          <w:rFonts w:hint="eastAsia" w:ascii="仿宋_GB2312" w:hAnsi="仿宋_GB2312" w:eastAsia="仿宋_GB2312" w:cs="仿宋_GB2312"/>
          <w:b/>
          <w:color w:val="auto"/>
          <w:sz w:val="28"/>
          <w:szCs w:val="28"/>
          <w:highlight w:val="none"/>
        </w:rPr>
        <w:t>采购主体</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2.1本次磋商的采购人是</w:t>
      </w:r>
      <w:r>
        <w:rPr>
          <w:rFonts w:hint="eastAsia" w:ascii="仿宋_GB2312" w:hAnsi="仿宋_GB2312" w:eastAsia="仿宋_GB2312" w:cs="仿宋_GB2312"/>
          <w:color w:val="auto"/>
          <w:sz w:val="28"/>
          <w:szCs w:val="28"/>
          <w:highlight w:val="none"/>
          <w:u w:val="single"/>
          <w:lang w:val="en-US" w:eastAsia="zh-CN"/>
        </w:rPr>
        <w:t xml:space="preserve">  广元市农业发展集团有限公司</w:t>
      </w:r>
      <w:r>
        <w:rPr>
          <w:rFonts w:hint="eastAsia" w:ascii="仿宋_GB2312" w:hAnsi="仿宋_GB2312" w:eastAsia="仿宋_GB2312" w:cs="仿宋_GB2312"/>
          <w:color w:val="auto"/>
          <w:sz w:val="28"/>
          <w:szCs w:val="28"/>
          <w:highlight w:val="none"/>
        </w:rPr>
        <w:t>。</w:t>
      </w:r>
    </w:p>
    <w:p>
      <w:pPr>
        <w:snapToGrid w:val="0"/>
        <w:spacing w:line="480" w:lineRule="exact"/>
        <w:ind w:firstLine="560" w:firstLineChars="200"/>
        <w:textAlignment w:val="baseline"/>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2.2本次磋商的采购代理机构是</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color="000000"/>
          <w:lang w:eastAsia="zh-CN"/>
        </w:rPr>
        <w:t>无</w:t>
      </w:r>
      <w:r>
        <w:rPr>
          <w:rFonts w:hint="eastAsia" w:ascii="仿宋_GB2312" w:hAnsi="仿宋_GB2312" w:eastAsia="仿宋_GB2312" w:cs="仿宋_GB2312"/>
          <w:color w:val="auto"/>
          <w:sz w:val="28"/>
          <w:szCs w:val="28"/>
          <w:highlight w:val="none"/>
          <w:u w:val="single" w:color="000000"/>
          <w:lang w:val="en-US" w:eastAsia="zh-CN"/>
        </w:rPr>
        <w:t xml:space="preserve">     </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73" w:name="_Toc217390843"/>
      <w:bookmarkStart w:id="74" w:name="_Toc183582207"/>
      <w:bookmarkStart w:id="75" w:name="_Toc183682344"/>
      <w:bookmarkStart w:id="76" w:name="_Toc217446036"/>
      <w:bookmarkStart w:id="77" w:name="_Toc23694"/>
      <w:bookmarkStart w:id="78" w:name="_Toc42015018"/>
      <w:bookmarkStart w:id="79" w:name="_Toc25494"/>
      <w:bookmarkStart w:id="80" w:name="_Toc519708707"/>
      <w:bookmarkStart w:id="81" w:name="_Toc42015219"/>
      <w:bookmarkStart w:id="82" w:name="_Toc31699"/>
      <w:bookmarkStart w:id="83" w:name="_Toc42014953"/>
      <w:r>
        <w:rPr>
          <w:rFonts w:hint="eastAsia" w:ascii="仿宋_GB2312" w:hAnsi="仿宋_GB2312" w:eastAsia="仿宋_GB2312" w:cs="仿宋_GB2312"/>
          <w:b/>
          <w:color w:val="auto"/>
          <w:sz w:val="28"/>
          <w:szCs w:val="28"/>
          <w:highlight w:val="none"/>
        </w:rPr>
        <w:t>3.合格</w:t>
      </w:r>
      <w:bookmarkEnd w:id="73"/>
      <w:bookmarkEnd w:id="74"/>
      <w:bookmarkEnd w:id="75"/>
      <w:bookmarkEnd w:id="76"/>
      <w:r>
        <w:rPr>
          <w:rFonts w:hint="eastAsia" w:ascii="仿宋_GB2312" w:hAnsi="仿宋_GB2312" w:eastAsia="仿宋_GB2312" w:cs="仿宋_GB2312"/>
          <w:b/>
          <w:color w:val="auto"/>
          <w:sz w:val="28"/>
          <w:szCs w:val="28"/>
          <w:highlight w:val="none"/>
        </w:rPr>
        <w:t>供应商（实质性要求）</w:t>
      </w:r>
      <w:bookmarkEnd w:id="77"/>
    </w:p>
    <w:p>
      <w:pPr>
        <w:tabs>
          <w:tab w:val="left" w:pos="7665"/>
        </w:tabs>
        <w:adjustRightInd w:val="0"/>
        <w:snapToGrid w:val="0"/>
        <w:spacing w:line="480" w:lineRule="exact"/>
        <w:ind w:firstLine="560" w:firstLineChars="200"/>
        <w:rPr>
          <w:rFonts w:ascii="仿宋_GB2312" w:hAnsi="仿宋_GB2312" w:eastAsia="仿宋_GB2312" w:cs="仿宋_GB2312"/>
          <w:color w:val="auto"/>
          <w:sz w:val="28"/>
          <w:szCs w:val="28"/>
          <w:highlight w:val="none"/>
        </w:rPr>
      </w:pPr>
      <w:bookmarkStart w:id="84" w:name="_Toc217446037"/>
      <w:bookmarkStart w:id="85" w:name="_Toc183582208"/>
      <w:bookmarkStart w:id="86" w:name="_Toc183682345"/>
      <w:r>
        <w:rPr>
          <w:rFonts w:hint="eastAsia" w:ascii="仿宋_GB2312" w:hAnsi="仿宋_GB2312" w:eastAsia="仿宋_GB2312" w:cs="仿宋_GB2312"/>
          <w:color w:val="auto"/>
          <w:sz w:val="28"/>
          <w:szCs w:val="28"/>
          <w:highlight w:val="none"/>
        </w:rPr>
        <w:t>合格供应商应具备以下条件：</w:t>
      </w:r>
    </w:p>
    <w:p>
      <w:pPr>
        <w:tabs>
          <w:tab w:val="left" w:pos="7665"/>
        </w:tabs>
        <w:adjustRightInd w:val="0"/>
        <w:snapToGrid w:val="0"/>
        <w:spacing w:line="480" w:lineRule="exact"/>
        <w:ind w:firstLine="560" w:firstLineChars="200"/>
        <w:rPr>
          <w:rFonts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z w:val="28"/>
          <w:szCs w:val="28"/>
          <w:highlight w:val="none"/>
        </w:rPr>
        <w:t>3.1 具备法律法规和本磋商文件规定的资格条件</w:t>
      </w:r>
      <w:r>
        <w:rPr>
          <w:rFonts w:hint="eastAsia" w:ascii="仿宋_GB2312" w:hAnsi="仿宋_GB2312" w:eastAsia="仿宋_GB2312" w:cs="仿宋_GB2312"/>
          <w:color w:val="auto"/>
          <w:spacing w:val="-4"/>
          <w:sz w:val="28"/>
          <w:szCs w:val="28"/>
          <w:highlight w:val="none"/>
        </w:rPr>
        <w:t>；</w:t>
      </w:r>
    </w:p>
    <w:p>
      <w:pPr>
        <w:tabs>
          <w:tab w:val="left" w:pos="7665"/>
        </w:tabs>
        <w:adjustRightInd w:val="0"/>
        <w:snapToGrid w:val="0"/>
        <w:spacing w:line="480" w:lineRule="exact"/>
        <w:ind w:firstLine="544" w:firstLineChars="200"/>
        <w:rPr>
          <w:rFonts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3.2 不属于禁止参加本项目采购活动的供应商；</w:t>
      </w:r>
    </w:p>
    <w:p>
      <w:pPr>
        <w:tabs>
          <w:tab w:val="left" w:pos="7665"/>
        </w:tabs>
        <w:adjustRightInd w:val="0"/>
        <w:snapToGrid w:val="0"/>
        <w:spacing w:line="480" w:lineRule="exact"/>
        <w:ind w:firstLine="544"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4"/>
          <w:sz w:val="28"/>
          <w:szCs w:val="28"/>
          <w:highlight w:val="none"/>
        </w:rPr>
        <w:t>3.3 按照规定获取了磋商文件，属于实质性参加采购活动的供应商</w:t>
      </w:r>
      <w:r>
        <w:rPr>
          <w:rFonts w:hint="eastAsia" w:ascii="仿宋_GB2312" w:hAnsi="仿宋_GB2312" w:eastAsia="仿宋_GB2312" w:cs="仿宋_GB2312"/>
          <w:color w:val="auto"/>
          <w:sz w:val="28"/>
          <w:szCs w:val="28"/>
          <w:highlight w:val="none"/>
        </w:rPr>
        <w:t>。</w:t>
      </w:r>
    </w:p>
    <w:p>
      <w:pPr>
        <w:tabs>
          <w:tab w:val="left" w:pos="7665"/>
        </w:tabs>
        <w:adjustRightInd w:val="0"/>
        <w:snapToGri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 供应商接受联合体的，除应符合供应商须知前附表的要求外，还应遵守以下规定：</w:t>
      </w:r>
    </w:p>
    <w:p>
      <w:pPr>
        <w:numPr>
          <w:ilvl w:val="0"/>
          <w:numId w:val="3"/>
        </w:numPr>
        <w:tabs>
          <w:tab w:val="left" w:pos="7665"/>
        </w:tabs>
        <w:adjustRightInd w:val="0"/>
        <w:snapToGri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联合体各方应按磋商文件提供的格式签订联合体协议书，明确联合体牵头人和各方权利义务；</w:t>
      </w:r>
    </w:p>
    <w:p>
      <w:pPr>
        <w:tabs>
          <w:tab w:val="left" w:pos="7665"/>
        </w:tabs>
        <w:adjustRightInd w:val="0"/>
        <w:snapToGri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（2）联合体各方不得再以自己名义单独或参与其他联合体在同一标段参加磋商。</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87" w:name="_Toc26470"/>
      <w:r>
        <w:rPr>
          <w:rFonts w:hint="eastAsia" w:ascii="仿宋_GB2312" w:hAnsi="仿宋_GB2312" w:eastAsia="仿宋_GB2312" w:cs="仿宋_GB2312"/>
          <w:b/>
          <w:color w:val="auto"/>
          <w:sz w:val="28"/>
          <w:szCs w:val="28"/>
          <w:highlight w:val="none"/>
        </w:rPr>
        <w:t>4.磋商费用</w:t>
      </w:r>
      <w:bookmarkEnd w:id="84"/>
      <w:bookmarkEnd w:id="85"/>
      <w:bookmarkEnd w:id="86"/>
      <w:bookmarkEnd w:id="87"/>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bookmarkStart w:id="88" w:name="_Toc14212"/>
      <w:r>
        <w:rPr>
          <w:rFonts w:hint="eastAsia" w:ascii="仿宋_GB2312" w:hAnsi="仿宋_GB2312" w:eastAsia="仿宋_GB2312" w:cs="仿宋_GB2312"/>
          <w:color w:val="auto"/>
          <w:sz w:val="28"/>
          <w:szCs w:val="28"/>
          <w:highlight w:val="none"/>
        </w:rPr>
        <w:t>供应商应自行承担参加磋商活动的全部费用。</w:t>
      </w:r>
      <w:bookmarkEnd w:id="88"/>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5.充分、公平竞争保障措施（实质性要求）</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5.1 利害关系供应商处理。单位负责人为同一人或者存在直接控股、管理关系的不同供应商不得参加同一合同项下的采购活动。</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5.2 利害关系授权代表处理。两家以上的供应商不得在同一合同项下的采购项目中，委托同一个自然人、同一家庭的人员、同一单位的人员作为其授权代表，否则，其响应文件作无效处理。</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5.3 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标因素和标准、采购合同等实质性内容条款的，视同为采购项目提供规范编制。</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5.4 同一母公司的两家以上的子公司只能组成联合体参加本项目同一合同项下的采购活动，不得以不同供应商身份同时参加本项目同一合同项下的采购活动。</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cs="仿宋_GB2312"/>
          <w:color w:val="auto"/>
          <w:sz w:val="28"/>
          <w:szCs w:val="28"/>
          <w:highlight w:val="none"/>
        </w:rPr>
        <w:t>5</w:t>
      </w:r>
      <w:r>
        <w:rPr>
          <w:rFonts w:hint="eastAsia" w:ascii="仿宋_GB2312" w:hAnsi="仿宋_GB2312" w:eastAsia="仿宋_GB2312" w:cs="仿宋_GB2312"/>
          <w:color w:val="auto"/>
          <w:sz w:val="28"/>
          <w:szCs w:val="28"/>
          <w:highlight w:val="none"/>
        </w:rPr>
        <w:t xml:space="preserve"> 回避。采购活动中，采购人员及相关人员与供应商有下列利害关系之一的，应当回避：</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（1）参加采购活动前3年内与供应商存在劳动关系；</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（2）参加采购活动前3年内担任供应商的董事、监事；</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（3）参加采购活动前3年内是供应商的控股股东或者实际控制人；</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（4）与供应商的法定代表人或者负责人有夫妻、直系血亲、三代以内旁系血亲或者近姻亲关系；</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（5）与供应商有其他可能影响采购活动公平、公正进行的关系。</w:t>
      </w:r>
    </w:p>
    <w:p>
      <w:pPr>
        <w:pStyle w:val="152"/>
        <w:adjustRightInd/>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6.联合体竞争性磋商（实质性要求） </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b/>
          <w:bCs/>
          <w:color w:val="auto"/>
          <w:sz w:val="28"/>
          <w:szCs w:val="28"/>
          <w:highlight w:val="none"/>
        </w:rPr>
        <w:t>不接受</w:t>
      </w:r>
      <w:r>
        <w:rPr>
          <w:rFonts w:hint="eastAsia" w:ascii="仿宋_GB2312" w:hAnsi="仿宋_GB2312" w:eastAsia="仿宋_GB2312" w:cs="仿宋_GB2312"/>
          <w:color w:val="auto"/>
          <w:sz w:val="28"/>
          <w:szCs w:val="28"/>
          <w:highlight w:val="none"/>
        </w:rPr>
        <w:t xml:space="preserve">联合体参与采购活动。 </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7.磋商保证金（实质性要求）</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7.1 供应商必须以人民币为计量单位提交磋商文件规定数额的磋商保证金。联合体磋商的，可以由联合体的一方或者共同提交磋商保证金，以一方名义提交磋商保证金的，对联合体各方均具有约束力。</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7.2 未按磋商文件要求在规定时间前交纳规定数额磋商保证金的响应文件无效。</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7.3 供应商所交纳的磋商保证金不计利息。</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7.4 磋商保证金的退还：供应商未成交且未违约的，将在发布采购项目成交结果公告后5个工作日内，按原渠道无息退还;供应商确认为成交供应商且未违约的，在采购合同签订且递交给采购代理机构归档后5个工作日内，按原渠道无息退还。</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注：①递交合同原件或复印件（加盖供应商公章）1份供采购代理机构归档，未及时提供造成的磋商保证金延迟退还，采购代理机构不承担相应责任；</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②因供应商自身原因造成的保证金延迟退还，采购代理机构不承担相应责任；</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③供应商因涉嫌违法违规，按照规定应当不予退还保证金的，有关部门处理认定违法违规行为期间不计入退还保证金期限内。</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7.5 发生下列情形之一的，采购代理机构将不予退还磋商保证金：</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（一）在磋商文件规定的递交响应文件截止时间后撤回响应文件的；</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（二）在采购人确定成交供应商之前放弃成交候选资格的；</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（三）成交后放弃、不领取或者不接收成交通知书的；</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（四）由于成交供应商的原因未能按照磋商文件的规定与采购人签订合同的；</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（五）由于成交供应商的原因未能按照磋商文件的规定交纳履约保证金的；</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（六）供应商在采购活动中提供虚假材料的；</w:t>
      </w:r>
    </w:p>
    <w:p>
      <w:pPr>
        <w:pStyle w:val="2"/>
        <w:snapToGrid w:val="0"/>
        <w:spacing w:line="480" w:lineRule="exact"/>
        <w:ind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（七）报价有效期内，供应商在采购活动中有违法违规违纪行为。若供应商涉嫌违法违规违纪行为的，有权机构处理认定的期间不计入退还磋商保证金时限。</w:t>
      </w:r>
    </w:p>
    <w:p>
      <w:pPr>
        <w:pStyle w:val="2"/>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供应商有上述行为之一的，代理机构有权以供应商交纳的保证金总额为限，在供应商交纳的保证金中扣除供应商应支付的代理服务费用</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若有余额，将余额划转至采购人的指定账户。采购人保留追究由此带来的损失及其他侵权责任的权利。</w:t>
      </w:r>
    </w:p>
    <w:p>
      <w:pPr>
        <w:pStyle w:val="2"/>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8.响应文件有效期（实质性要求）</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响应文件有效期为递交响应文件截止之日起90天。供应商响应文件中必须载明响应文件有效期，响应文件中载明的响应文件有效期可以长于磋商文件规定的期限，但不得短于磋商文件规定的期限。否则，其供应商响应文件将作为无效处理。</w:t>
      </w:r>
    </w:p>
    <w:p>
      <w:pPr>
        <w:snapToGrid w:val="0"/>
        <w:spacing w:line="480" w:lineRule="exact"/>
        <w:ind w:firstLine="562" w:firstLineChars="200"/>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t>9.</w:t>
      </w:r>
      <w:r>
        <w:rPr>
          <w:rFonts w:hint="eastAsia" w:ascii="仿宋_GB2312" w:hAnsi="仿宋_GB2312" w:eastAsia="仿宋_GB2312" w:cs="仿宋_GB2312"/>
          <w:b/>
          <w:bCs/>
          <w:color w:val="auto"/>
          <w:sz w:val="28"/>
          <w:szCs w:val="28"/>
          <w:highlight w:val="none"/>
        </w:rPr>
        <w:t>知识产权（实质性要求）</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9.2 除非磋商文件特别规定，采购人享有本项目实施过程中产生的知识成果及知识产权。</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9.3 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9.4 如采用供应商所不拥有的知识产权，则在报价中必须包括合法获取该知识产权的相关费用。</w:t>
      </w:r>
    </w:p>
    <w:p>
      <w:pPr>
        <w:pStyle w:val="4"/>
        <w:keepLines w:val="0"/>
        <w:snapToGrid w:val="0"/>
        <w:spacing w:before="0" w:after="156" w:line="240" w:lineRule="atLeast"/>
        <w:jc w:val="center"/>
        <w:textAlignment w:val="baseline"/>
        <w:rPr>
          <w:rFonts w:ascii="仿宋_GB2312" w:hAnsi="仿宋_GB2312" w:eastAsia="仿宋_GB2312" w:cs="仿宋_GB2312"/>
          <w:color w:val="auto"/>
          <w:sz w:val="28"/>
          <w:szCs w:val="28"/>
          <w:highlight w:val="none"/>
        </w:rPr>
      </w:pPr>
      <w:bookmarkStart w:id="89" w:name="_Toc77400779"/>
      <w:bookmarkStart w:id="90" w:name="_Toc8879"/>
      <w:bookmarkStart w:id="91" w:name="_Toc183682346"/>
      <w:bookmarkStart w:id="92" w:name="_Toc3212"/>
      <w:bookmarkStart w:id="93" w:name="_Toc32044"/>
      <w:bookmarkStart w:id="94" w:name="_Toc32730"/>
      <w:bookmarkStart w:id="95" w:name="_Toc183582209"/>
      <w:bookmarkStart w:id="96" w:name="_Toc89075875"/>
      <w:bookmarkStart w:id="97" w:name="_Toc9135"/>
      <w:bookmarkStart w:id="98" w:name="_Toc441"/>
      <w:bookmarkStart w:id="99" w:name="_Toc217446038"/>
      <w:r>
        <w:rPr>
          <w:rFonts w:hint="eastAsia" w:ascii="仿宋_GB2312" w:hAnsi="仿宋_GB2312" w:eastAsia="仿宋_GB2312" w:cs="仿宋_GB2312"/>
          <w:color w:val="auto"/>
          <w:sz w:val="28"/>
          <w:szCs w:val="28"/>
          <w:highlight w:val="none"/>
        </w:rPr>
        <w:t>三、磋商文件</w:t>
      </w:r>
      <w:bookmarkEnd w:id="89"/>
      <w:bookmarkEnd w:id="90"/>
      <w:bookmarkEnd w:id="91"/>
      <w:bookmarkEnd w:id="92"/>
      <w:bookmarkEnd w:id="93"/>
      <w:bookmarkEnd w:id="94"/>
      <w:bookmarkEnd w:id="95"/>
      <w:bookmarkEnd w:id="96"/>
      <w:bookmarkEnd w:id="97"/>
      <w:bookmarkEnd w:id="98"/>
      <w:bookmarkEnd w:id="99"/>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100" w:name="_Toc183582210"/>
      <w:bookmarkStart w:id="101" w:name="_Toc217446039"/>
      <w:bookmarkStart w:id="102" w:name="_Toc183682347"/>
      <w:bookmarkStart w:id="103" w:name="_Toc5146"/>
      <w:r>
        <w:rPr>
          <w:rFonts w:hint="eastAsia" w:ascii="仿宋_GB2312" w:hAnsi="仿宋_GB2312" w:eastAsia="仿宋_GB2312" w:cs="仿宋_GB2312"/>
          <w:b/>
          <w:color w:val="auto"/>
          <w:sz w:val="28"/>
          <w:szCs w:val="28"/>
          <w:highlight w:val="none"/>
        </w:rPr>
        <w:t>10．磋商文件的构成</w:t>
      </w:r>
      <w:bookmarkEnd w:id="100"/>
      <w:bookmarkEnd w:id="101"/>
      <w:bookmarkEnd w:id="102"/>
      <w:r>
        <w:rPr>
          <w:rFonts w:hint="eastAsia" w:ascii="仿宋_GB2312" w:hAnsi="仿宋_GB2312" w:eastAsia="仿宋_GB2312" w:cs="仿宋_GB2312"/>
          <w:b/>
          <w:color w:val="auto"/>
          <w:sz w:val="28"/>
          <w:szCs w:val="28"/>
          <w:highlight w:val="none"/>
        </w:rPr>
        <w:t>（实质性要求）</w:t>
      </w:r>
      <w:bookmarkEnd w:id="103"/>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104" w:name="_Toc183582211"/>
      <w:bookmarkStart w:id="105" w:name="_Toc183682348"/>
      <w:bookmarkStart w:id="106" w:name="_Toc26601"/>
      <w:bookmarkStart w:id="107" w:name="_Toc217446040"/>
      <w:r>
        <w:rPr>
          <w:rFonts w:hint="eastAsia" w:ascii="仿宋_GB2312" w:hAnsi="仿宋_GB2312" w:eastAsia="仿宋_GB2312" w:cs="仿宋_GB2312"/>
          <w:b/>
          <w:color w:val="auto"/>
          <w:sz w:val="28"/>
          <w:szCs w:val="28"/>
          <w:highlight w:val="none"/>
        </w:rPr>
        <w:t>11.磋商文件的澄清</w:t>
      </w:r>
      <w:bookmarkEnd w:id="104"/>
      <w:bookmarkEnd w:id="105"/>
      <w:r>
        <w:rPr>
          <w:rFonts w:hint="eastAsia" w:ascii="仿宋_GB2312" w:hAnsi="仿宋_GB2312" w:eastAsia="仿宋_GB2312" w:cs="仿宋_GB2312"/>
          <w:b/>
          <w:color w:val="auto"/>
          <w:sz w:val="28"/>
          <w:szCs w:val="28"/>
          <w:highlight w:val="none"/>
        </w:rPr>
        <w:t>和修改</w:t>
      </w:r>
      <w:bookmarkEnd w:id="106"/>
      <w:bookmarkEnd w:id="107"/>
    </w:p>
    <w:p>
      <w:pPr>
        <w:tabs>
          <w:tab w:val="left" w:pos="72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11.1 在递交响应文件截止时间前，采购人、采购代理机构可以对磋商文件进行澄清或者修改。</w:t>
      </w:r>
    </w:p>
    <w:p>
      <w:pPr>
        <w:tabs>
          <w:tab w:val="left" w:pos="72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11.2 采购代理机构对已发出的磋商文件进行澄清或者修改，在阳光采购平台上发布更正公告。该澄清或者修改的内容为磋商文件的组成部分，澄清或者修改的内容可能影响响应文件编制的，应当在提交首次响应文件截止之日起3个自然日前；不足上述时间的，应当顺延递交响应文件的截止时间。</w:t>
      </w:r>
    </w:p>
    <w:p>
      <w:pPr>
        <w:tabs>
          <w:tab w:val="left" w:pos="72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11.3 供应商认为采购人/采购代理机构需要对磋商文件进行澄清或者修改的，可以在提交首次响应文件截止之日起3个自然日（至少包含1个工作日）前在阳光采购平台向采购单位构提出申请，由采购人/采购代理机构决定是否采纳供应商的申请事项。</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108" w:name="_Toc29138"/>
      <w:bookmarkStart w:id="109" w:name="_Toc217446041"/>
      <w:bookmarkStart w:id="110" w:name="_Toc208848971"/>
      <w:r>
        <w:rPr>
          <w:rFonts w:hint="eastAsia" w:ascii="仿宋_GB2312" w:hAnsi="仿宋_GB2312" w:eastAsia="仿宋_GB2312" w:cs="仿宋_GB2312"/>
          <w:b/>
          <w:color w:val="auto"/>
          <w:sz w:val="28"/>
          <w:szCs w:val="28"/>
          <w:highlight w:val="none"/>
        </w:rPr>
        <w:t>12.答疑会和现场考察</w:t>
      </w:r>
      <w:bookmarkEnd w:id="108"/>
      <w:bookmarkEnd w:id="109"/>
      <w:bookmarkEnd w:id="110"/>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12.1 根据采购项目和具体情况，采购人、采购代理机构认为有必要，可以在磋商文件提供期限截止后响应文件提交截止前，组织已获取磋商文件的供应商现场考察或者召开答疑会。</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12.2 采购人、采购代理机构组织现场考察或者召开答疑会的，将以发布公告的形式通知所有获取磋商文件的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12.3 供应商考察现场或者参加答疑会所发生的一切费用由供应商自己承担。</w:t>
      </w:r>
    </w:p>
    <w:p>
      <w:pPr>
        <w:pStyle w:val="4"/>
        <w:keepLines w:val="0"/>
        <w:snapToGrid w:val="0"/>
        <w:spacing w:before="0" w:after="156" w:line="240" w:lineRule="atLeast"/>
        <w:jc w:val="center"/>
        <w:textAlignment w:val="baseline"/>
        <w:rPr>
          <w:rFonts w:ascii="仿宋_GB2312" w:hAnsi="仿宋_GB2312" w:eastAsia="仿宋_GB2312" w:cs="仿宋_GB2312"/>
          <w:color w:val="auto"/>
          <w:sz w:val="28"/>
          <w:szCs w:val="28"/>
          <w:highlight w:val="none"/>
        </w:rPr>
      </w:pPr>
      <w:bookmarkStart w:id="111" w:name="_Toc77400780"/>
      <w:bookmarkStart w:id="112" w:name="_Toc18421"/>
      <w:bookmarkStart w:id="113" w:name="_Toc183582214"/>
      <w:bookmarkStart w:id="114" w:name="_Toc25786"/>
      <w:bookmarkStart w:id="115" w:name="_Toc27746"/>
      <w:bookmarkStart w:id="116" w:name="_Toc183682351"/>
      <w:bookmarkStart w:id="117" w:name="_Toc89075876"/>
      <w:bookmarkStart w:id="118" w:name="_Toc4490"/>
      <w:bookmarkStart w:id="119" w:name="_Toc217446042"/>
      <w:bookmarkStart w:id="120" w:name="_Toc15284"/>
      <w:bookmarkStart w:id="121" w:name="_Toc13483"/>
      <w:r>
        <w:rPr>
          <w:rFonts w:hint="eastAsia" w:ascii="仿宋_GB2312" w:hAnsi="仿宋_GB2312" w:eastAsia="仿宋_GB2312" w:cs="仿宋_GB2312"/>
          <w:color w:val="auto"/>
          <w:sz w:val="28"/>
          <w:szCs w:val="28"/>
          <w:highlight w:val="none"/>
        </w:rPr>
        <w:t>四、响应文件</w:t>
      </w:r>
      <w:bookmarkEnd w:id="111"/>
      <w:bookmarkEnd w:id="112"/>
      <w:bookmarkEnd w:id="113"/>
      <w:bookmarkEnd w:id="114"/>
      <w:bookmarkEnd w:id="115"/>
      <w:bookmarkEnd w:id="116"/>
      <w:bookmarkEnd w:id="117"/>
      <w:bookmarkEnd w:id="118"/>
      <w:bookmarkEnd w:id="119"/>
      <w:bookmarkEnd w:id="120"/>
      <w:bookmarkEnd w:id="121"/>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122" w:name="_Toc20922"/>
      <w:bookmarkStart w:id="123" w:name="_Toc183582215"/>
      <w:bookmarkStart w:id="124" w:name="_Toc217446043"/>
      <w:bookmarkStart w:id="125" w:name="_Toc183682352"/>
      <w:r>
        <w:rPr>
          <w:rFonts w:hint="eastAsia" w:ascii="仿宋_GB2312" w:hAnsi="仿宋_GB2312" w:eastAsia="仿宋_GB2312" w:cs="仿宋_GB2312"/>
          <w:b/>
          <w:color w:val="auto"/>
          <w:sz w:val="28"/>
          <w:szCs w:val="28"/>
          <w:highlight w:val="none"/>
        </w:rPr>
        <w:t>13.响应文件的组成</w:t>
      </w:r>
      <w:bookmarkEnd w:id="122"/>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供应商应按照磋商文件的规定和要求编制响应文件。供应商在成交后将成交项目的非主体、非关键性工作分包他人完成的，应当在响应文件中载明或磋商过程中澄清。</w:t>
      </w:r>
    </w:p>
    <w:p>
      <w:pPr>
        <w:snapToGrid w:val="0"/>
        <w:spacing w:line="480" w:lineRule="exact"/>
        <w:ind w:firstLine="562" w:firstLineChars="200"/>
        <w:textAlignment w:val="baseline"/>
        <w:rPr>
          <w:rFonts w:ascii="仿宋_GB2312" w:hAnsi="仿宋_GB2312" w:eastAsia="仿宋_GB2312" w:cs="仿宋_GB2312"/>
          <w:b/>
          <w:bCs/>
          <w:color w:val="auto"/>
          <w:sz w:val="28"/>
          <w:szCs w:val="28"/>
          <w:highlight w:val="none"/>
        </w:rPr>
      </w:pPr>
      <w:bookmarkStart w:id="126" w:name="_Toc27663"/>
      <w:r>
        <w:rPr>
          <w:rFonts w:hint="eastAsia" w:ascii="仿宋_GB2312" w:hAnsi="仿宋_GB2312" w:eastAsia="仿宋_GB2312" w:cs="仿宋_GB2312"/>
          <w:b/>
          <w:bCs/>
          <w:color w:val="auto"/>
          <w:sz w:val="28"/>
          <w:szCs w:val="28"/>
          <w:highlight w:val="none"/>
        </w:rPr>
        <w:t>14.响应文件的语言</w:t>
      </w:r>
      <w:bookmarkEnd w:id="123"/>
      <w:bookmarkEnd w:id="124"/>
      <w:bookmarkEnd w:id="125"/>
      <w:r>
        <w:rPr>
          <w:rFonts w:hint="eastAsia" w:ascii="仿宋_GB2312" w:hAnsi="仿宋_GB2312" w:eastAsia="仿宋_GB2312" w:cs="仿宋_GB2312"/>
          <w:b/>
          <w:bCs/>
          <w:color w:val="auto"/>
          <w:sz w:val="28"/>
          <w:szCs w:val="28"/>
          <w:highlight w:val="none"/>
        </w:rPr>
        <w:t>（实质性要求）</w:t>
      </w:r>
      <w:bookmarkEnd w:id="126"/>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14.2 翻译的中文资料与外文资料如果出现差异和矛盾，以中文为准。但不能故意错误翻译，否则，供应商的响应文件将作为无效处理。</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bookmarkStart w:id="127" w:name="_Toc183682353"/>
      <w:bookmarkStart w:id="128" w:name="_Toc217446044"/>
      <w:bookmarkStart w:id="129" w:name="_Toc183582216"/>
      <w:bookmarkStart w:id="130" w:name="_Toc8597"/>
      <w:r>
        <w:rPr>
          <w:rFonts w:hint="eastAsia" w:ascii="仿宋_GB2312" w:hAnsi="仿宋_GB2312" w:eastAsia="仿宋_GB2312" w:cs="仿宋_GB2312"/>
          <w:b/>
          <w:color w:val="auto"/>
          <w:sz w:val="28"/>
          <w:szCs w:val="28"/>
          <w:highlight w:val="none"/>
        </w:rPr>
        <w:t>15．计量单位</w:t>
      </w:r>
      <w:bookmarkEnd w:id="127"/>
      <w:bookmarkEnd w:id="128"/>
      <w:bookmarkEnd w:id="129"/>
      <w:r>
        <w:rPr>
          <w:rFonts w:hint="eastAsia" w:ascii="仿宋_GB2312" w:hAnsi="仿宋_GB2312" w:eastAsia="仿宋_GB2312" w:cs="仿宋_GB2312"/>
          <w:b/>
          <w:color w:val="auto"/>
          <w:sz w:val="28"/>
          <w:szCs w:val="28"/>
          <w:highlight w:val="none"/>
        </w:rPr>
        <w:t>（实质性要求）</w:t>
      </w:r>
      <w:bookmarkEnd w:id="130"/>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除磋商文件中另有规定外，本次采购项目所有合同项下的报价均采用国家法定的计量单位。</w:t>
      </w:r>
    </w:p>
    <w:p>
      <w:pPr>
        <w:spacing w:line="480" w:lineRule="exact"/>
        <w:ind w:firstLine="562" w:firstLineChars="200"/>
        <w:rPr>
          <w:rFonts w:ascii="仿宋_GB2312" w:hAnsi="仿宋" w:eastAsia="仿宋_GB2312" w:cs="仿宋"/>
          <w:b/>
          <w:bCs/>
          <w:color w:val="auto"/>
          <w:sz w:val="28"/>
          <w:szCs w:val="28"/>
          <w:highlight w:val="none"/>
        </w:rPr>
      </w:pPr>
      <w:r>
        <w:rPr>
          <w:rFonts w:hint="eastAsia" w:ascii="仿宋_GB2312" w:hAnsi="仿宋" w:eastAsia="仿宋_GB2312" w:cs="仿宋"/>
          <w:b/>
          <w:bCs/>
          <w:color w:val="auto"/>
          <w:sz w:val="28"/>
          <w:szCs w:val="28"/>
          <w:highlight w:val="none"/>
        </w:rPr>
        <w:t>16.</w:t>
      </w:r>
      <w:r>
        <w:rPr>
          <w:rFonts w:hint="eastAsia" w:ascii="仿宋_GB2312" w:hAnsi="仿宋" w:eastAsia="仿宋_GB2312" w:cs="仿宋"/>
          <w:b/>
          <w:color w:val="auto"/>
          <w:sz w:val="28"/>
          <w:szCs w:val="28"/>
          <w:highlight w:val="none"/>
        </w:rPr>
        <w:t>报价</w:t>
      </w:r>
      <w:r>
        <w:rPr>
          <w:rFonts w:hint="eastAsia" w:ascii="仿宋_GB2312" w:hAnsi="仿宋" w:eastAsia="仿宋_GB2312" w:cs="仿宋"/>
          <w:b/>
          <w:bCs/>
          <w:color w:val="auto"/>
          <w:sz w:val="28"/>
          <w:szCs w:val="28"/>
          <w:highlight w:val="none"/>
        </w:rPr>
        <w:t>（实质性要求）</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16.1供应商应认真核实本项目的工程量清单。</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16.2所有报价一律以人民币报价。采购人不接受任何非人民币币种的报价。</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16.3供应商的报价是其响应本项目要求的全部工作内容的价格体现，包括供应商完成本项目所需的一切费用。</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16.3.1本项目合同价格形式为</w:t>
      </w:r>
      <w:r>
        <w:rPr>
          <w:rFonts w:hint="eastAsia" w:ascii="仿宋_GB2312" w:hAnsi="仿宋_GB2312" w:eastAsia="仿宋_GB2312" w:cs="仿宋_GB2312"/>
          <w:b/>
          <w:color w:val="auto"/>
          <w:sz w:val="28"/>
          <w:szCs w:val="28"/>
          <w:highlight w:val="none"/>
        </w:rPr>
        <w:sym w:font="Wingdings" w:char="00FE"/>
      </w:r>
      <w:r>
        <w:rPr>
          <w:rFonts w:hint="eastAsia" w:ascii="仿宋_GB2312" w:hAnsi="仿宋_GB2312" w:eastAsia="仿宋_GB2312" w:cs="仿宋_GB2312"/>
          <w:b/>
          <w:color w:val="auto"/>
          <w:sz w:val="28"/>
          <w:szCs w:val="28"/>
          <w:highlight w:val="none"/>
        </w:rPr>
        <w:t>固定单价合同</w:t>
      </w:r>
      <w:r>
        <w:rPr>
          <w:rFonts w:hint="eastAsia" w:ascii="仿宋_GB2312" w:hAnsi="仿宋_GB2312" w:eastAsia="仿宋_GB2312" w:cs="仿宋_GB2312"/>
          <w:bCs/>
          <w:color w:val="auto"/>
          <w:sz w:val="28"/>
          <w:szCs w:val="28"/>
          <w:highlight w:val="none"/>
        </w:rPr>
        <w:t>□固定总价合同。</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16.3.2本项目采用工程量清单报价，合同为固定单价合同。（</w:t>
      </w:r>
      <w:r>
        <w:rPr>
          <w:rFonts w:hint="eastAsia" w:ascii="仿宋_GB2312" w:hAnsi="仿宋_GB2312" w:eastAsia="仿宋_GB2312" w:cs="仿宋_GB2312"/>
          <w:b/>
          <w:color w:val="auto"/>
          <w:sz w:val="28"/>
          <w:szCs w:val="28"/>
          <w:highlight w:val="none"/>
        </w:rPr>
        <w:t>本条适用于固定单价合同项目</w:t>
      </w:r>
      <w:r>
        <w:rPr>
          <w:rFonts w:hint="eastAsia" w:ascii="仿宋_GB2312" w:hAnsi="仿宋_GB2312" w:eastAsia="仿宋_GB2312" w:cs="仿宋_GB2312"/>
          <w:bCs/>
          <w:color w:val="auto"/>
          <w:sz w:val="28"/>
          <w:szCs w:val="28"/>
          <w:highlight w:val="none"/>
        </w:rPr>
        <w:t>）</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供应商最后报价超过采购预算或最高限价（金额详见“供应商须知附表”）的, 其响应文件按无效处理。</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供应商在首次提交的响应文件中的报价（即首次报价）应按磋商文件及工程量清单编制要求，列出报价的构成及明细。</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供应商对工程量清单中的工程量清单项目的单价未填报或填报为零的，视为单价遗漏。出现单价遗漏情况，视为其费用已分摊在工程量清单其他相关子目的单价（价格）之中。如中标，供应商应完成该项目，但该项目不得另行计价。</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供应商提交的已标价工程量清单应符合本项目工程量清单以及清单编制说明的要求。当供应商的已标价工程量清单有下列情形之一的，应按照无效响应文件处理。</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（一）已标价工程量清单中的项目名称、项目特征描述（与采购文件工程量清单中的项目特征描述的实质性内容一致的除外）、计量单位、工程量与采购文件工程量清单不一致的；</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（二）已标价工程量清单中暂列金额未按采购文件工程量清单中列明的金额填报的；</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（三）已标价工程量清单中材料、工程设备暂估价未按采购文件工程量清单中列出的单价计入综合单价的；</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（四）已标价工程量清单中专业工程暂估价未按采购文件工程量清单中列明的金额填写的；</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（五）已标价工程量清单中计日工未按采购文件工程量清单中列明的数量进行报价的；</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（六）当已标价工程量清单中的任何单价、合价或总价，出现两个及以上金额的。</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ab/>
      </w:r>
      <w:r>
        <w:rPr>
          <w:rFonts w:hint="eastAsia" w:ascii="仿宋_GB2312" w:hAnsi="仿宋_GB2312" w:eastAsia="仿宋_GB2312" w:cs="仿宋_GB2312"/>
          <w:bCs/>
          <w:color w:val="auto"/>
          <w:sz w:val="28"/>
          <w:szCs w:val="28"/>
          <w:highlight w:val="none"/>
        </w:rPr>
        <w:tab/>
      </w:r>
      <w:r>
        <w:rPr>
          <w:rFonts w:hint="eastAsia" w:ascii="仿宋_GB2312" w:hAnsi="仿宋_GB2312" w:eastAsia="仿宋_GB2312" w:cs="仿宋_GB2312"/>
          <w:bCs/>
          <w:color w:val="auto"/>
          <w:sz w:val="28"/>
          <w:szCs w:val="28"/>
          <w:highlight w:val="none"/>
        </w:rPr>
        <w:t>（±）调整金额</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百分比（A）= ×100%</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修正后的首次报价-暂列金额-专业工程暂估价-包干费用</w:t>
      </w:r>
    </w:p>
    <w:p>
      <w:pPr>
        <w:snapToGrid w:val="0"/>
        <w:spacing w:line="480" w:lineRule="exact"/>
        <w:ind w:firstLine="560"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调整后的单价B =修正后的首次报价中的单价×（1+A）</w:t>
      </w:r>
    </w:p>
    <w:p>
      <w:pPr>
        <w:snapToGrid w:val="0"/>
        <w:spacing w:line="480" w:lineRule="exact"/>
        <w:ind w:firstLine="562" w:firstLineChars="20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16.3.3固定总价合同</w:t>
      </w:r>
      <w:r>
        <w:rPr>
          <w:rFonts w:hint="eastAsia" w:ascii="仿宋_GB2312" w:hAnsi="仿宋_GB2312" w:eastAsia="仿宋_GB2312" w:cs="仿宋_GB2312"/>
          <w:bCs/>
          <w:color w:val="auto"/>
          <w:sz w:val="28"/>
          <w:szCs w:val="28"/>
          <w:highlight w:val="none"/>
        </w:rPr>
        <w:t>（本条适用于固定总价合同项目，采购人可以根据采购项目需要直接在磋商文件中确定采购项目的采购价格。</w:t>
      </w:r>
    </w:p>
    <w:p>
      <w:pPr>
        <w:snapToGrid w:val="0"/>
        <w:spacing w:line="480" w:lineRule="exact"/>
        <w:ind w:firstLine="560"/>
        <w:textAlignment w:val="baseline"/>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napToGrid w:val="0"/>
        <w:spacing w:line="480" w:lineRule="exact"/>
        <w:ind w:firstLine="562" w:firstLineChars="200"/>
        <w:textAlignment w:val="baseline"/>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17.响应文件格式</w:t>
      </w:r>
    </w:p>
    <w:p>
      <w:pPr>
        <w:spacing w:line="48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17.1 供应商应执行磋商文件第五章的规定要求。</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17.2 对于没有格式要求的磋商文件由供应商自行编写。</w:t>
      </w:r>
    </w:p>
    <w:p>
      <w:pPr>
        <w:snapToGrid w:val="0"/>
        <w:spacing w:line="480" w:lineRule="exact"/>
        <w:ind w:firstLine="562" w:firstLineChars="200"/>
        <w:textAlignment w:val="baseline"/>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18.响应文件的编制和签署</w:t>
      </w:r>
    </w:p>
    <w:p>
      <w:pPr>
        <w:spacing w:line="48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18.1 响应文件正本1份、副本2份、电子文档1份</w:t>
      </w:r>
      <w:r>
        <w:rPr>
          <w:rFonts w:hint="eastAsia" w:ascii="仿宋_GB2312" w:hAnsi="仿宋_GB2312" w:eastAsia="仿宋_GB2312" w:cs="仿宋_GB2312"/>
          <w:bCs/>
          <w:color w:val="auto"/>
          <w:sz w:val="28"/>
          <w:szCs w:val="28"/>
          <w:highlight w:val="none"/>
        </w:rPr>
        <w:t>，并在其封面上清楚地标明响应文件、采购项目名称、采购项目编号、包件号及名称（若有）、供应商名称以及“正本”或“副本”字样。若正本和副本有不一致的内容，以正本书面响应文件为准。</w:t>
      </w:r>
    </w:p>
    <w:p>
      <w:pPr>
        <w:spacing w:line="48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18.2 响应文件正本和副本均需在规定签章处签字和盖单位公章。响应文件副本可采用正本的复印件，电子文档采用</w:t>
      </w:r>
      <w:r>
        <w:rPr>
          <w:rFonts w:hint="eastAsia" w:ascii="仿宋_GB2312" w:hAnsi="仿宋_GB2312" w:eastAsia="仿宋_GB2312" w:cs="仿宋_GB2312"/>
          <w:b/>
          <w:color w:val="auto"/>
          <w:sz w:val="28"/>
          <w:szCs w:val="28"/>
          <w:highlight w:val="none"/>
        </w:rPr>
        <w:t>U盘制作</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
          <w:color w:val="auto"/>
          <w:sz w:val="28"/>
          <w:szCs w:val="28"/>
          <w:highlight w:val="none"/>
        </w:rPr>
        <w:t>存放内容为响应文件扫描件</w:t>
      </w:r>
      <w:r>
        <w:rPr>
          <w:rFonts w:hint="eastAsia" w:ascii="仿宋_GB2312" w:hAnsi="仿宋_GB2312" w:eastAsia="仿宋_GB2312" w:cs="仿宋_GB2312"/>
          <w:bCs/>
          <w:color w:val="auto"/>
          <w:sz w:val="28"/>
          <w:szCs w:val="28"/>
          <w:highlight w:val="none"/>
        </w:rPr>
        <w:t>。</w:t>
      </w:r>
    </w:p>
    <w:p>
      <w:pPr>
        <w:tabs>
          <w:tab w:val="left" w:pos="109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18.3 响应文件的打印和书写应清楚工整，任何行间插字、涂改或增删，必须由供应商的法定代表人或其授权代表签字并盖供应商公章。字迹潦草、表达不清或可能导致非唯一理解的响应文件可能被作为无效处理。</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18.4 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18.5 响应文件正本和副本需要逐页编目编码。</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18.6 响应文件正本和副本应当采用胶装方式装订成册，不得散装或者合页装订。</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18.7 响应文件应根据磋商文件的要求制作，签署、盖章。</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18.8 响应文件统一用A4幅面纸印制，除另有规定外。</w:t>
      </w:r>
    </w:p>
    <w:p>
      <w:pPr>
        <w:tabs>
          <w:tab w:val="left" w:pos="1080"/>
        </w:tabs>
        <w:spacing w:line="48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bCs/>
          <w:color w:val="auto"/>
          <w:sz w:val="28"/>
          <w:szCs w:val="28"/>
          <w:highlight w:val="none"/>
        </w:rPr>
        <w:t>19.</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响应文件的密封和标注</w:t>
      </w:r>
      <w:r>
        <w:rPr>
          <w:rFonts w:hint="eastAsia" w:ascii="仿宋_GB2312" w:hAnsi="仿宋_GB2312" w:eastAsia="仿宋_GB2312" w:cs="仿宋_GB2312"/>
          <w:b/>
          <w:color w:val="auto"/>
          <w:sz w:val="28"/>
          <w:szCs w:val="28"/>
          <w:highlight w:val="none"/>
        </w:rPr>
        <w:t>（不属于本项目磋商小组评审范畴，由采购人、采购代理机构在接收响应文件时及时处理）</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19.1 响应文件可以单独密封包装，也可以所有响应文件密封包装在一个密封袋内。</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19.2 响应文件密封袋的最外层应清楚地标明采购项目名称、采购项目编号、包件号及名称（若有）、供应商名称。</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19.3 所有外层密封袋的封口处应粘贴牢固。</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19.4 未按以上要求进行密封和标注的响应文件，采购人、采购代理机构将拒收或者在时间允许的范围内，要求修改完善后接收。</w:t>
      </w:r>
    </w:p>
    <w:p>
      <w:pPr>
        <w:spacing w:line="480" w:lineRule="exact"/>
        <w:ind w:firstLine="562" w:firstLineChars="200"/>
        <w:rPr>
          <w:rFonts w:ascii="仿宋_GB2312" w:hAnsi="仿宋_GB2312" w:eastAsia="仿宋_GB2312" w:cs="仿宋_GB2312"/>
          <w:b/>
          <w:bCs/>
          <w:color w:val="auto"/>
          <w:sz w:val="28"/>
          <w:szCs w:val="28"/>
          <w:highlight w:val="none"/>
        </w:rPr>
      </w:pPr>
      <w:bookmarkStart w:id="131" w:name="_Toc96761100"/>
      <w:r>
        <w:rPr>
          <w:rFonts w:hint="eastAsia" w:ascii="仿宋_GB2312" w:hAnsi="仿宋_GB2312" w:eastAsia="仿宋_GB2312" w:cs="仿宋_GB2312"/>
          <w:b/>
          <w:bCs/>
          <w:color w:val="auto"/>
          <w:sz w:val="28"/>
          <w:szCs w:val="28"/>
          <w:highlight w:val="none"/>
        </w:rPr>
        <w:t>20.</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响应文件的递交</w:t>
      </w:r>
      <w:bookmarkEnd w:id="131"/>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 响应文件应于递交响应文件截止时间前送达指定地点，采购代理机构拒绝接收截止时间后送达的响应文件。</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 报价表在磋商后，磋商小组要求供应商进行最后报价时递交。</w:t>
      </w:r>
    </w:p>
    <w:p>
      <w:pPr>
        <w:tabs>
          <w:tab w:val="left" w:pos="10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20.3 本次采购不接收邮寄的响应文件。</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bookmarkStart w:id="132" w:name="_Toc217446055"/>
      <w:bookmarkStart w:id="133" w:name="_Toc183682365"/>
      <w:bookmarkStart w:id="134" w:name="_Toc183582228"/>
      <w:r>
        <w:rPr>
          <w:rFonts w:hint="eastAsia" w:ascii="仿宋_GB2312" w:hAnsi="仿宋_GB2312" w:eastAsia="仿宋_GB2312" w:cs="仿宋_GB2312"/>
          <w:color w:val="auto"/>
          <w:kern w:val="0"/>
          <w:sz w:val="28"/>
          <w:szCs w:val="28"/>
          <w:highlight w:val="none"/>
        </w:rPr>
        <w:t>21. 响应文件的修改和撤回（补充、修改响应文件的密封和标注按照本章“19.响应文件的密封和标注”规定处理）</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21.2 供应商对响应文件修改的书面材料或撤回的通知应该按规定进行编写、密封、标注和递送，并注明“修改响应文件”字样。</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21.3 供应商不得在递交截止时间起至响应文件有效期期满前撤销其响应文件。否则其磋商保证金将按第二部分供应商采购须知相关规定不予退还。</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21.4 响应文件中报价如果出现下列不一致的，可按以下原则进行修改：</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（一）大写金额和小写金额不一致的，以大写金额为准，但大写金额文字存在错误的，应当先对大写金额的文字错误进行澄清、说明或者更正，再行修正。</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（二）总价金额与按单价汇总金额不一致的，以单价金额计算结果为准，但单价或者单价汇总金额存在数字或者文字错误的，应当先对数字或者文字错误进行澄清、说明或者更正，再行修正。</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（三）单价金额小数点或者百分比有明显错位的，以总价为准，修正单价。</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napToGrid w:val="0"/>
        <w:spacing w:line="480" w:lineRule="exact"/>
        <w:ind w:firstLine="560" w:firstLineChars="200"/>
        <w:textAlignment w:val="baseline"/>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21.5 供应商对其提交的响应文件的真实性、合法性承担法律责任。</w:t>
      </w:r>
      <w:bookmarkEnd w:id="132"/>
      <w:bookmarkEnd w:id="133"/>
      <w:bookmarkEnd w:id="134"/>
    </w:p>
    <w:p>
      <w:pPr>
        <w:pStyle w:val="4"/>
        <w:keepLines w:val="0"/>
        <w:snapToGrid w:val="0"/>
        <w:spacing w:before="0" w:after="156" w:line="240" w:lineRule="atLeast"/>
        <w:jc w:val="center"/>
        <w:textAlignment w:val="baseline"/>
        <w:rPr>
          <w:rFonts w:ascii="仿宋_GB2312" w:hAnsi="仿宋_GB2312" w:eastAsia="仿宋_GB2312" w:cs="仿宋_GB2312"/>
          <w:color w:val="auto"/>
          <w:sz w:val="28"/>
          <w:szCs w:val="28"/>
          <w:highlight w:val="none"/>
        </w:rPr>
      </w:pPr>
      <w:bookmarkStart w:id="135" w:name="_Toc531"/>
      <w:bookmarkStart w:id="136" w:name="_Toc27539"/>
      <w:bookmarkStart w:id="137" w:name="_Toc15453"/>
      <w:bookmarkStart w:id="138" w:name="_Toc9089"/>
      <w:bookmarkStart w:id="139" w:name="_Toc29668"/>
      <w:bookmarkStart w:id="140" w:name="_Toc31430"/>
      <w:r>
        <w:rPr>
          <w:rFonts w:hint="eastAsia" w:ascii="仿宋_GB2312" w:hAnsi="仿宋_GB2312" w:eastAsia="仿宋_GB2312" w:cs="仿宋_GB2312"/>
          <w:color w:val="auto"/>
          <w:sz w:val="28"/>
          <w:szCs w:val="28"/>
          <w:highlight w:val="none"/>
        </w:rPr>
        <w:t>五、评审</w:t>
      </w:r>
      <w:bookmarkEnd w:id="135"/>
      <w:bookmarkEnd w:id="136"/>
      <w:bookmarkEnd w:id="137"/>
      <w:bookmarkEnd w:id="138"/>
      <w:bookmarkEnd w:id="139"/>
      <w:bookmarkEnd w:id="140"/>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bookmarkStart w:id="141" w:name="_Toc25350"/>
      <w:r>
        <w:rPr>
          <w:rFonts w:hint="eastAsia" w:ascii="仿宋_GB2312" w:hAnsi="仿宋_GB2312" w:eastAsia="仿宋_GB2312" w:cs="仿宋_GB2312"/>
          <w:color w:val="auto"/>
          <w:sz w:val="28"/>
          <w:szCs w:val="28"/>
          <w:highlight w:val="none"/>
        </w:rPr>
        <w:t>22.磋商小组的组建及其评审工作按照有关法律制度和本文件第八章的规定进行。</w:t>
      </w:r>
      <w:bookmarkEnd w:id="141"/>
    </w:p>
    <w:p>
      <w:pPr>
        <w:spacing w:line="480" w:lineRule="exact"/>
        <w:ind w:firstLine="560" w:firstLineChars="200"/>
        <w:rPr>
          <w:rFonts w:ascii="仿宋_GB2312" w:hAnsi="仿宋_GB2312" w:eastAsia="仿宋_GB2312" w:cs="仿宋_GB2312"/>
          <w:color w:val="auto"/>
          <w:sz w:val="28"/>
          <w:szCs w:val="28"/>
          <w:highlight w:val="none"/>
        </w:rPr>
      </w:pPr>
      <w:bookmarkStart w:id="142" w:name="_Toc96761102"/>
      <w:bookmarkStart w:id="143" w:name="_Toc96446233"/>
      <w:r>
        <w:rPr>
          <w:rFonts w:hint="eastAsia" w:ascii="仿宋_GB2312" w:hAnsi="仿宋_GB2312" w:eastAsia="仿宋_GB2312" w:cs="仿宋_GB2312"/>
          <w:color w:val="auto"/>
          <w:sz w:val="28"/>
          <w:szCs w:val="28"/>
          <w:highlight w:val="none"/>
        </w:rPr>
        <w:t>22. 磋商小组的组建及其评审工作按照有关法律制度和本文件第六章的规定进行。</w:t>
      </w:r>
      <w:bookmarkEnd w:id="142"/>
      <w:bookmarkEnd w:id="143"/>
    </w:p>
    <w:p>
      <w:pPr>
        <w:spacing w:before="260" w:after="260" w:line="500" w:lineRule="exact"/>
        <w:ind w:firstLine="723" w:firstLineChars="200"/>
        <w:jc w:val="center"/>
        <w:rPr>
          <w:rFonts w:ascii="仿宋_GB2312" w:hAnsi="仿宋_GB2312" w:eastAsia="仿宋_GB2312" w:cs="仿宋_GB2312"/>
          <w:color w:val="auto"/>
          <w:sz w:val="28"/>
          <w:szCs w:val="28"/>
          <w:highlight w:val="none"/>
        </w:rPr>
      </w:pPr>
      <w:bookmarkStart w:id="144" w:name="_Toc96761103"/>
      <w:bookmarkStart w:id="145" w:name="_Toc96446234"/>
      <w:r>
        <w:rPr>
          <w:rFonts w:hint="eastAsia" w:ascii="楷体_GB2312" w:hAnsi="楷体_GB2312" w:eastAsia="楷体_GB2312" w:cs="楷体_GB2312"/>
          <w:b/>
          <w:bCs/>
          <w:color w:val="auto"/>
          <w:sz w:val="36"/>
          <w:szCs w:val="36"/>
          <w:highlight w:val="none"/>
        </w:rPr>
        <w:t>六、成交事项</w:t>
      </w:r>
      <w:bookmarkEnd w:id="144"/>
      <w:bookmarkEnd w:id="145"/>
    </w:p>
    <w:p>
      <w:pPr>
        <w:spacing w:line="480" w:lineRule="exact"/>
        <w:ind w:firstLine="562" w:firstLineChars="200"/>
        <w:rPr>
          <w:rFonts w:ascii="仿宋_GB2312" w:hAnsi="仿宋_GB2312" w:eastAsia="仿宋_GB2312" w:cs="仿宋_GB2312"/>
          <w:b/>
          <w:bCs/>
          <w:color w:val="auto"/>
          <w:sz w:val="28"/>
          <w:szCs w:val="28"/>
          <w:highlight w:val="none"/>
        </w:rPr>
      </w:pPr>
      <w:bookmarkStart w:id="146" w:name="_Toc96761104"/>
      <w:bookmarkStart w:id="147" w:name="_Toc96446235"/>
      <w:r>
        <w:rPr>
          <w:rFonts w:hint="eastAsia" w:ascii="仿宋_GB2312" w:hAnsi="仿宋_GB2312" w:eastAsia="仿宋_GB2312" w:cs="仿宋_GB2312"/>
          <w:b/>
          <w:bCs/>
          <w:color w:val="auto"/>
          <w:sz w:val="28"/>
          <w:szCs w:val="28"/>
          <w:highlight w:val="none"/>
        </w:rPr>
        <w:t>23.</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确定成交供应商</w:t>
      </w:r>
      <w:bookmarkEnd w:id="146"/>
      <w:bookmarkEnd w:id="147"/>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23.1 采购代理机构自评审结束后2个工作日内将磋商报告及有关资料送交采购人确定成交供应商。</w:t>
      </w:r>
    </w:p>
    <w:p>
      <w:pPr>
        <w:spacing w:line="480" w:lineRule="exact"/>
        <w:ind w:firstLine="560" w:firstLineChars="200"/>
        <w:rPr>
          <w:rFonts w:ascii="仿宋_GB2312" w:hAnsi="仿宋_GB2312" w:eastAsia="仿宋_GB2312" w:cs="仿宋_GB2312"/>
          <w:color w:val="auto"/>
          <w:sz w:val="28"/>
          <w:szCs w:val="28"/>
          <w:highlight w:val="none"/>
        </w:rPr>
      </w:pPr>
      <w:bookmarkStart w:id="148" w:name="_Toc96446238"/>
      <w:r>
        <w:rPr>
          <w:rFonts w:hint="eastAsia" w:ascii="仿宋_GB2312" w:hAnsi="仿宋_GB2312" w:eastAsia="仿宋_GB2312" w:cs="仿宋_GB2312"/>
          <w:color w:val="auto"/>
          <w:sz w:val="28"/>
          <w:szCs w:val="28"/>
          <w:highlight w:val="none"/>
        </w:rPr>
        <w:t>23.2</w:t>
      </w:r>
      <w:bookmarkEnd w:id="148"/>
      <w:bookmarkStart w:id="149" w:name="_Toc96446239"/>
      <w:r>
        <w:rPr>
          <w:rFonts w:hint="eastAsia" w:ascii="仿宋_GB2312" w:hAnsi="仿宋_GB2312" w:eastAsia="仿宋_GB2312" w:cs="仿宋_GB2312"/>
          <w:color w:val="auto"/>
          <w:sz w:val="28"/>
          <w:szCs w:val="28"/>
          <w:highlight w:val="none"/>
        </w:rPr>
        <w:t xml:space="preserve"> 采购人收到磋商报告及有关资料后2个工作日内，按照磋商报告中推荐的成交候选人顺序确定成交供应商。采购人逾期未确定成交供应商且不提出异议的，视为确定磋商报告提出的排序第一的供应商为成交供应商。成交候选人并列的，采购人自主采取公平、择优的方式选择成交供应商。</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23.3 采购人确定成交供应商过程中，发现成交候选人有下列情形之一的，应当不予确定其为成交供应商：</w:t>
      </w:r>
      <w:bookmarkEnd w:id="149"/>
    </w:p>
    <w:p>
      <w:pPr>
        <w:spacing w:line="480" w:lineRule="exact"/>
        <w:ind w:firstLine="560" w:firstLineChars="200"/>
        <w:rPr>
          <w:rFonts w:ascii="仿宋_GB2312" w:hAnsi="仿宋_GB2312" w:eastAsia="仿宋_GB2312" w:cs="仿宋_GB2312"/>
          <w:color w:val="auto"/>
          <w:sz w:val="28"/>
          <w:szCs w:val="28"/>
          <w:highlight w:val="none"/>
        </w:rPr>
      </w:pPr>
      <w:bookmarkStart w:id="150" w:name="_Toc96446240"/>
      <w:r>
        <w:rPr>
          <w:rFonts w:hint="eastAsia" w:ascii="仿宋_GB2312" w:hAnsi="仿宋_GB2312" w:eastAsia="仿宋_GB2312" w:cs="仿宋_GB2312"/>
          <w:color w:val="auto"/>
          <w:sz w:val="28"/>
          <w:szCs w:val="28"/>
          <w:highlight w:val="none"/>
        </w:rPr>
        <w:t>（1）发现成交候选人存在禁止参加本项目采购活动的违法行为的；</w:t>
      </w:r>
      <w:bookmarkEnd w:id="150"/>
    </w:p>
    <w:p>
      <w:pPr>
        <w:spacing w:line="480" w:lineRule="exact"/>
        <w:ind w:firstLine="560" w:firstLineChars="200"/>
        <w:rPr>
          <w:rFonts w:ascii="仿宋_GB2312" w:hAnsi="仿宋_GB2312" w:eastAsia="仿宋_GB2312" w:cs="仿宋_GB2312"/>
          <w:color w:val="auto"/>
          <w:sz w:val="28"/>
          <w:szCs w:val="28"/>
          <w:highlight w:val="none"/>
        </w:rPr>
      </w:pPr>
      <w:bookmarkStart w:id="151" w:name="_Toc96446241"/>
      <w:r>
        <w:rPr>
          <w:rFonts w:hint="eastAsia" w:ascii="仿宋_GB2312" w:hAnsi="仿宋_GB2312" w:eastAsia="仿宋_GB2312" w:cs="仿宋_GB2312"/>
          <w:color w:val="auto"/>
          <w:sz w:val="28"/>
          <w:szCs w:val="28"/>
          <w:highlight w:val="none"/>
        </w:rPr>
        <w:t>（2）成交候选人因不可抗力，不能继续参加采购活动；</w:t>
      </w:r>
      <w:bookmarkEnd w:id="151"/>
    </w:p>
    <w:p>
      <w:pPr>
        <w:spacing w:line="480" w:lineRule="exact"/>
        <w:ind w:firstLine="560" w:firstLineChars="200"/>
        <w:rPr>
          <w:rFonts w:ascii="仿宋_GB2312" w:hAnsi="仿宋_GB2312" w:eastAsia="仿宋_GB2312" w:cs="仿宋_GB2312"/>
          <w:color w:val="auto"/>
          <w:sz w:val="28"/>
          <w:szCs w:val="28"/>
          <w:highlight w:val="none"/>
        </w:rPr>
      </w:pPr>
      <w:bookmarkStart w:id="152" w:name="_Toc96446242"/>
      <w:r>
        <w:rPr>
          <w:rFonts w:hint="eastAsia" w:ascii="仿宋_GB2312" w:hAnsi="仿宋_GB2312" w:eastAsia="仿宋_GB2312" w:cs="仿宋_GB2312"/>
          <w:color w:val="auto"/>
          <w:sz w:val="28"/>
          <w:szCs w:val="28"/>
          <w:highlight w:val="none"/>
        </w:rPr>
        <w:t>（3）成交候选人无偿赠与或者低于成本价竞争；</w:t>
      </w:r>
      <w:bookmarkEnd w:id="152"/>
    </w:p>
    <w:p>
      <w:pPr>
        <w:spacing w:line="480" w:lineRule="exact"/>
        <w:ind w:firstLine="560" w:firstLineChars="200"/>
        <w:rPr>
          <w:rFonts w:ascii="仿宋_GB2312" w:hAnsi="仿宋_GB2312" w:eastAsia="仿宋_GB2312" w:cs="仿宋_GB2312"/>
          <w:color w:val="auto"/>
          <w:sz w:val="28"/>
          <w:szCs w:val="28"/>
          <w:highlight w:val="none"/>
        </w:rPr>
      </w:pPr>
      <w:bookmarkStart w:id="153" w:name="_Toc96446243"/>
      <w:r>
        <w:rPr>
          <w:rFonts w:hint="eastAsia" w:ascii="仿宋_GB2312" w:hAnsi="仿宋_GB2312" w:eastAsia="仿宋_GB2312" w:cs="仿宋_GB2312"/>
          <w:color w:val="auto"/>
          <w:sz w:val="28"/>
          <w:szCs w:val="28"/>
          <w:highlight w:val="none"/>
        </w:rPr>
        <w:t>（4）成交候选人提供虚假材料；</w:t>
      </w:r>
      <w:bookmarkEnd w:id="153"/>
    </w:p>
    <w:p>
      <w:pPr>
        <w:spacing w:line="480" w:lineRule="exact"/>
        <w:ind w:firstLine="560" w:firstLineChars="200"/>
        <w:rPr>
          <w:rFonts w:ascii="仿宋_GB2312" w:hAnsi="仿宋_GB2312" w:eastAsia="仿宋_GB2312" w:cs="仿宋_GB2312"/>
          <w:color w:val="auto"/>
          <w:sz w:val="28"/>
          <w:szCs w:val="28"/>
          <w:highlight w:val="none"/>
        </w:rPr>
      </w:pPr>
      <w:bookmarkStart w:id="154" w:name="_Toc96446244"/>
      <w:r>
        <w:rPr>
          <w:rFonts w:hint="eastAsia" w:ascii="仿宋_GB2312" w:hAnsi="仿宋_GB2312" w:eastAsia="仿宋_GB2312" w:cs="仿宋_GB2312"/>
          <w:color w:val="auto"/>
          <w:sz w:val="28"/>
          <w:szCs w:val="28"/>
          <w:highlight w:val="none"/>
        </w:rPr>
        <w:t>（5）成交候选人恶意串通。</w:t>
      </w:r>
      <w:bookmarkEnd w:id="154"/>
    </w:p>
    <w:p>
      <w:pPr>
        <w:spacing w:line="480" w:lineRule="exact"/>
        <w:ind w:firstLine="560" w:firstLineChars="200"/>
        <w:rPr>
          <w:rFonts w:ascii="仿宋_GB2312" w:hAnsi="仿宋_GB2312" w:eastAsia="仿宋_GB2312" w:cs="仿宋_GB2312"/>
          <w:color w:val="auto"/>
          <w:sz w:val="28"/>
          <w:szCs w:val="28"/>
          <w:highlight w:val="none"/>
        </w:rPr>
      </w:pPr>
      <w:bookmarkStart w:id="155" w:name="_Toc96446245"/>
      <w:r>
        <w:rPr>
          <w:rFonts w:hint="eastAsia" w:ascii="仿宋_GB2312" w:hAnsi="仿宋_GB2312" w:eastAsia="仿宋_GB2312" w:cs="仿宋_GB2312"/>
          <w:color w:val="auto"/>
          <w:sz w:val="28"/>
          <w:szCs w:val="28"/>
          <w:highlight w:val="none"/>
        </w:rPr>
        <w:t>成交候选人有</w:t>
      </w:r>
      <w:r>
        <w:rPr>
          <w:rFonts w:hint="eastAsia" w:ascii="仿宋_GB2312" w:hAnsi="仿宋_GB2312" w:cs="仿宋_GB2312"/>
          <w:color w:val="auto"/>
          <w:sz w:val="28"/>
          <w:szCs w:val="28"/>
          <w:highlight w:val="none"/>
        </w:rPr>
        <w:t>上述</w:t>
      </w:r>
      <w:r>
        <w:rPr>
          <w:rFonts w:hint="eastAsia" w:ascii="仿宋_GB2312" w:hAnsi="仿宋_GB2312" w:eastAsia="仿宋_GB2312" w:cs="仿宋_GB2312"/>
          <w:color w:val="auto"/>
          <w:sz w:val="28"/>
          <w:szCs w:val="28"/>
          <w:highlight w:val="none"/>
        </w:rPr>
        <w:t>情形之一的，采购人可以确定后一</w:t>
      </w:r>
      <w:r>
        <w:rPr>
          <w:rFonts w:hint="eastAsia" w:ascii="仿宋_GB2312" w:hAnsi="仿宋_GB2312" w:cs="仿宋_GB2312"/>
          <w:color w:val="auto"/>
          <w:sz w:val="28"/>
          <w:szCs w:val="28"/>
          <w:highlight w:val="none"/>
        </w:rPr>
        <w:t>顺</w:t>
      </w:r>
      <w:r>
        <w:rPr>
          <w:rFonts w:hint="eastAsia" w:ascii="仿宋_GB2312" w:hAnsi="仿宋_GB2312" w:eastAsia="仿宋_GB2312" w:cs="仿宋_GB2312"/>
          <w:color w:val="auto"/>
          <w:sz w:val="28"/>
          <w:szCs w:val="28"/>
          <w:highlight w:val="none"/>
        </w:rPr>
        <w:t>位成交候选人为成交供应商，依次类推，也可以重新组织采购。</w:t>
      </w:r>
      <w:bookmarkEnd w:id="155"/>
    </w:p>
    <w:p>
      <w:pPr>
        <w:spacing w:line="480" w:lineRule="exact"/>
        <w:ind w:firstLine="562" w:firstLineChars="200"/>
        <w:outlineLvl w:val="2"/>
        <w:rPr>
          <w:rFonts w:ascii="仿宋_GB2312" w:hAnsi="仿宋_GB2312" w:eastAsia="仿宋_GB2312" w:cs="仿宋_GB2312"/>
          <w:b/>
          <w:bCs/>
          <w:color w:val="auto"/>
          <w:sz w:val="28"/>
          <w:szCs w:val="28"/>
          <w:highlight w:val="none"/>
        </w:rPr>
      </w:pPr>
      <w:bookmarkStart w:id="156" w:name="_Toc96446246"/>
      <w:bookmarkStart w:id="157" w:name="_Toc26666"/>
      <w:bookmarkStart w:id="158" w:name="_Toc19572"/>
      <w:bookmarkStart w:id="159" w:name="_Toc96761105"/>
      <w:r>
        <w:rPr>
          <w:rFonts w:hint="eastAsia" w:ascii="仿宋_GB2312" w:hAnsi="仿宋_GB2312" w:eastAsia="仿宋_GB2312" w:cs="仿宋_GB2312"/>
          <w:b/>
          <w:bCs/>
          <w:color w:val="auto"/>
          <w:sz w:val="28"/>
          <w:szCs w:val="28"/>
          <w:highlight w:val="none"/>
        </w:rPr>
        <w:t>24. 成交结果</w:t>
      </w:r>
      <w:bookmarkEnd w:id="156"/>
      <w:bookmarkEnd w:id="157"/>
      <w:bookmarkEnd w:id="158"/>
      <w:bookmarkEnd w:id="159"/>
    </w:p>
    <w:p>
      <w:pPr>
        <w:spacing w:line="480" w:lineRule="exact"/>
        <w:ind w:firstLine="560" w:firstLineChars="200"/>
        <w:rPr>
          <w:rFonts w:ascii="仿宋_GB2312" w:hAnsi="仿宋_GB2312" w:eastAsia="仿宋_GB2312" w:cs="仿宋_GB2312"/>
          <w:color w:val="auto"/>
          <w:sz w:val="28"/>
          <w:szCs w:val="28"/>
          <w:highlight w:val="none"/>
        </w:rPr>
      </w:pPr>
      <w:bookmarkStart w:id="160" w:name="_Toc96446247"/>
      <w:r>
        <w:rPr>
          <w:rFonts w:hint="eastAsia" w:ascii="仿宋_GB2312" w:hAnsi="仿宋_GB2312" w:eastAsia="仿宋_GB2312" w:cs="仿宋_GB2312"/>
          <w:color w:val="auto"/>
          <w:sz w:val="28"/>
          <w:szCs w:val="28"/>
          <w:highlight w:val="none"/>
        </w:rPr>
        <w:t>24.1 采购人确定成交供应商后，</w:t>
      </w:r>
      <w:r>
        <w:rPr>
          <w:rFonts w:hint="eastAsia"/>
          <w:color w:val="auto"/>
          <w:highlight w:val="none"/>
        </w:rPr>
        <w:t>在5个工作日内</w:t>
      </w:r>
      <w:r>
        <w:rPr>
          <w:rFonts w:hint="eastAsia" w:ascii="仿宋_GB2312" w:hAnsi="仿宋_GB2312" w:eastAsia="仿宋_GB2312" w:cs="仿宋_GB2312"/>
          <w:color w:val="auto"/>
          <w:sz w:val="28"/>
          <w:szCs w:val="28"/>
          <w:highlight w:val="none"/>
        </w:rPr>
        <w:t>通知采购代理机构</w:t>
      </w:r>
      <w:r>
        <w:rPr>
          <w:rFonts w:hint="eastAsia"/>
          <w:color w:val="auto"/>
          <w:highlight w:val="none"/>
        </w:rPr>
        <w:t>在阳光采购平台</w:t>
      </w:r>
      <w:r>
        <w:rPr>
          <w:rFonts w:hint="eastAsia" w:ascii="仿宋_GB2312" w:hAnsi="仿宋_GB2312" w:eastAsia="仿宋_GB2312" w:cs="仿宋_GB2312"/>
          <w:color w:val="auto"/>
          <w:sz w:val="28"/>
          <w:szCs w:val="28"/>
          <w:highlight w:val="none"/>
        </w:rPr>
        <w:t>发布成交结果公告并发出成交通知书。</w:t>
      </w:r>
      <w:bookmarkEnd w:id="160"/>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24.2 成交供应商应当及时领取成交通知书。本项目需要交纳履约保证金的，成交供应商应当及时向采购人交纳。</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24.3 成交供应商不能及时到阳光采购平台领取成交通知书，采购人或者采购代理机构将通过邮寄、快递等方式将项目成交通知书送达成交供应商。</w:t>
      </w:r>
    </w:p>
    <w:p>
      <w:pPr>
        <w:spacing w:line="480" w:lineRule="exact"/>
        <w:ind w:firstLine="562" w:firstLineChars="200"/>
        <w:outlineLvl w:val="2"/>
        <w:rPr>
          <w:rFonts w:ascii="仿宋_GB2312" w:hAnsi="仿宋_GB2312" w:eastAsia="仿宋_GB2312" w:cs="仿宋_GB2312"/>
          <w:b/>
          <w:bCs/>
          <w:color w:val="auto"/>
          <w:sz w:val="28"/>
          <w:szCs w:val="28"/>
          <w:highlight w:val="none"/>
        </w:rPr>
      </w:pPr>
      <w:bookmarkStart w:id="161" w:name="_Toc8387"/>
      <w:bookmarkStart w:id="162" w:name="_Toc96446248"/>
      <w:bookmarkStart w:id="163" w:name="_Toc14387"/>
      <w:bookmarkStart w:id="164" w:name="_Toc96761106"/>
      <w:r>
        <w:rPr>
          <w:rFonts w:hint="eastAsia" w:ascii="仿宋_GB2312" w:hAnsi="仿宋_GB2312" w:eastAsia="仿宋_GB2312" w:cs="仿宋_GB2312"/>
          <w:b/>
          <w:bCs/>
          <w:color w:val="auto"/>
          <w:sz w:val="28"/>
          <w:szCs w:val="28"/>
          <w:highlight w:val="none"/>
        </w:rPr>
        <w:t>25.</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成交通知书</w:t>
      </w:r>
      <w:bookmarkEnd w:id="161"/>
      <w:bookmarkEnd w:id="162"/>
      <w:bookmarkEnd w:id="163"/>
      <w:bookmarkEnd w:id="164"/>
    </w:p>
    <w:p>
      <w:pPr>
        <w:spacing w:line="480" w:lineRule="exact"/>
        <w:ind w:firstLine="560" w:firstLineChars="200"/>
        <w:rPr>
          <w:rFonts w:ascii="仿宋_GB2312" w:hAnsi="仿宋_GB2312" w:eastAsia="仿宋_GB2312" w:cs="仿宋_GB2312"/>
          <w:color w:val="auto"/>
          <w:sz w:val="28"/>
          <w:szCs w:val="28"/>
          <w:highlight w:val="none"/>
        </w:rPr>
      </w:pPr>
      <w:bookmarkStart w:id="165" w:name="_Toc96446249"/>
      <w:r>
        <w:rPr>
          <w:rFonts w:hint="eastAsia" w:ascii="仿宋_GB2312" w:hAnsi="仿宋_GB2312" w:eastAsia="仿宋_GB2312" w:cs="仿宋_GB2312"/>
          <w:color w:val="auto"/>
          <w:sz w:val="28"/>
          <w:szCs w:val="28"/>
          <w:highlight w:val="none"/>
        </w:rPr>
        <w:t>25.1 成交通知书为签订采购合同的依据之一，是合同的有效组成部分。</w:t>
      </w:r>
      <w:bookmarkEnd w:id="165"/>
    </w:p>
    <w:p>
      <w:pPr>
        <w:spacing w:line="480" w:lineRule="exact"/>
        <w:ind w:firstLine="560" w:firstLineChars="200"/>
        <w:rPr>
          <w:rFonts w:ascii="仿宋_GB2312" w:hAnsi="仿宋_GB2312" w:eastAsia="仿宋_GB2312" w:cs="仿宋_GB2312"/>
          <w:color w:val="auto"/>
          <w:sz w:val="28"/>
          <w:szCs w:val="28"/>
          <w:highlight w:val="none"/>
        </w:rPr>
      </w:pPr>
      <w:bookmarkStart w:id="166" w:name="_Toc96446250"/>
      <w:r>
        <w:rPr>
          <w:rFonts w:hint="eastAsia" w:ascii="仿宋_GB2312" w:hAnsi="仿宋_GB2312" w:eastAsia="仿宋_GB2312" w:cs="仿宋_GB2312"/>
          <w:color w:val="auto"/>
          <w:sz w:val="28"/>
          <w:szCs w:val="28"/>
          <w:highlight w:val="none"/>
        </w:rPr>
        <w:t>25.2 成交通知书对采购人和成交供应商均具有法律效力。成交通知书发出后，采购人无正当理由改变成交结果，或者成交供应商无正当理由放弃成交的，将承担相应的法律责任。</w:t>
      </w:r>
      <w:bookmarkEnd w:id="166"/>
      <w:r>
        <w:rPr>
          <w:rFonts w:hint="eastAsia" w:ascii="仿宋_GB2312" w:hAnsi="仿宋_GB2312" w:eastAsia="仿宋_GB2312" w:cs="仿宋_GB2312"/>
          <w:color w:val="auto"/>
          <w:sz w:val="28"/>
          <w:szCs w:val="28"/>
          <w:highlight w:val="none"/>
        </w:rPr>
        <w:t>若成交供应商在收到采购人或采购代理机构通知</w:t>
      </w:r>
      <w:r>
        <w:rPr>
          <w:rFonts w:hint="eastAsia" w:ascii="仿宋_GB2312" w:hAnsi="仿宋_GB2312" w:eastAsia="仿宋_GB2312" w:cs="仿宋_GB2312"/>
          <w:b/>
          <w:bCs/>
          <w:color w:val="auto"/>
          <w:sz w:val="28"/>
          <w:szCs w:val="28"/>
          <w:highlight w:val="none"/>
        </w:rPr>
        <w:t>5个工作日内</w:t>
      </w:r>
      <w:r>
        <w:rPr>
          <w:rFonts w:hint="eastAsia" w:ascii="仿宋_GB2312" w:hAnsi="仿宋_GB2312" w:eastAsia="仿宋_GB2312" w:cs="仿宋_GB2312"/>
          <w:color w:val="auto"/>
          <w:sz w:val="28"/>
          <w:szCs w:val="28"/>
          <w:highlight w:val="none"/>
        </w:rPr>
        <w:t>未领取成交通知书且无正当理由的，视为成交供应商放弃该成交项目，采购人或采购代理机构有权按磋商文件规定不予退还其磋商保证金。</w:t>
      </w:r>
    </w:p>
    <w:p>
      <w:pPr>
        <w:spacing w:line="480" w:lineRule="exact"/>
        <w:ind w:firstLine="560" w:firstLineChars="200"/>
        <w:rPr>
          <w:rFonts w:ascii="仿宋_GB2312" w:hAnsi="仿宋_GB2312" w:eastAsia="仿宋_GB2312" w:cs="仿宋_GB2312"/>
          <w:color w:val="auto"/>
          <w:sz w:val="28"/>
          <w:szCs w:val="28"/>
          <w:highlight w:val="none"/>
        </w:rPr>
      </w:pPr>
      <w:bookmarkStart w:id="167" w:name="_Toc96446251"/>
      <w:r>
        <w:rPr>
          <w:rFonts w:hint="eastAsia" w:ascii="仿宋_GB2312" w:hAnsi="仿宋_GB2312" w:eastAsia="仿宋_GB2312" w:cs="仿宋_GB2312"/>
          <w:color w:val="auto"/>
          <w:sz w:val="28"/>
          <w:szCs w:val="28"/>
          <w:highlight w:val="none"/>
        </w:rPr>
        <w:t>25.3 成交供应商的响应文件作为无效响应文件处理或者有采购法律法规规章制度规定的成交无效情形的，采购人或采购代理机构在取得有权主体的认定以后，有权宣布发出的成交通知书无效并予以收回，可以重新确定成交供应商或者重新开展采购活动。</w:t>
      </w:r>
      <w:bookmarkEnd w:id="167"/>
    </w:p>
    <w:p>
      <w:pPr>
        <w:spacing w:before="260" w:after="260" w:line="500" w:lineRule="exact"/>
        <w:jc w:val="center"/>
        <w:rPr>
          <w:rFonts w:ascii="仿宋_GB2312" w:hAnsi="仿宋_GB2312" w:eastAsia="仿宋_GB2312" w:cs="仿宋_GB2312"/>
          <w:color w:val="auto"/>
          <w:sz w:val="28"/>
          <w:szCs w:val="28"/>
          <w:highlight w:val="none"/>
        </w:rPr>
      </w:pPr>
      <w:bookmarkStart w:id="168" w:name="_Toc96761107"/>
      <w:bookmarkStart w:id="169" w:name="_Toc96446252"/>
      <w:r>
        <w:rPr>
          <w:rFonts w:hint="eastAsia" w:ascii="楷体_GB2312" w:hAnsi="楷体_GB2312" w:eastAsia="楷体_GB2312" w:cs="楷体_GB2312"/>
          <w:b/>
          <w:bCs/>
          <w:color w:val="auto"/>
          <w:sz w:val="36"/>
          <w:szCs w:val="36"/>
          <w:highlight w:val="none"/>
        </w:rPr>
        <w:t>七、合同事项</w:t>
      </w:r>
      <w:bookmarkEnd w:id="168"/>
      <w:bookmarkEnd w:id="169"/>
    </w:p>
    <w:p>
      <w:pPr>
        <w:pStyle w:val="5"/>
        <w:keepNext w:val="0"/>
        <w:keepLines w:val="0"/>
        <w:spacing w:before="0" w:line="480" w:lineRule="exact"/>
        <w:ind w:firstLine="562" w:firstLineChars="200"/>
        <w:rPr>
          <w:rFonts w:ascii="仿宋_GB2312" w:hAnsi="仿宋_GB2312" w:eastAsia="仿宋_GB2312" w:cs="仿宋_GB2312"/>
          <w:color w:val="auto"/>
          <w:sz w:val="28"/>
          <w:szCs w:val="28"/>
          <w:highlight w:val="none"/>
        </w:rPr>
      </w:pPr>
      <w:bookmarkStart w:id="170" w:name="_Toc11578"/>
      <w:bookmarkStart w:id="171" w:name="_Toc5023"/>
      <w:bookmarkStart w:id="172" w:name="_Toc27040"/>
      <w:bookmarkStart w:id="173" w:name="_Toc28812"/>
      <w:bookmarkStart w:id="174" w:name="_Toc26964"/>
      <w:bookmarkStart w:id="175" w:name="_Toc101174151"/>
      <w:bookmarkStart w:id="176" w:name="_Toc96761108"/>
      <w:bookmarkStart w:id="177" w:name="_Toc101250646"/>
      <w:bookmarkStart w:id="178" w:name="_Toc101338364"/>
      <w:bookmarkStart w:id="179" w:name="_Toc209847069"/>
      <w:bookmarkStart w:id="180" w:name="_Toc430773927"/>
      <w:bookmarkStart w:id="181" w:name="_Toc96446253"/>
      <w:r>
        <w:rPr>
          <w:rFonts w:hint="eastAsia" w:ascii="仿宋_GB2312" w:hAnsi="仿宋_GB2312" w:eastAsia="仿宋_GB2312" w:cs="仿宋_GB2312"/>
          <w:color w:val="auto"/>
          <w:sz w:val="28"/>
          <w:szCs w:val="28"/>
          <w:highlight w:val="none"/>
        </w:rPr>
        <w:t>26. 签订合同</w:t>
      </w:r>
      <w:bookmarkEnd w:id="170"/>
      <w:bookmarkEnd w:id="171"/>
      <w:bookmarkEnd w:id="172"/>
      <w:bookmarkEnd w:id="173"/>
      <w:bookmarkEnd w:id="174"/>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26.1 成交供应商应在成交通知书发出之日起</w:t>
      </w:r>
      <w:r>
        <w:rPr>
          <w:rFonts w:hint="eastAsia" w:ascii="仿宋_GB2312" w:hAnsi="仿宋_GB2312" w:eastAsia="仿宋_GB2312" w:cs="仿宋_GB2312"/>
          <w:b/>
          <w:bCs/>
          <w:color w:val="auto"/>
          <w:sz w:val="28"/>
          <w:szCs w:val="28"/>
          <w:highlight w:val="none"/>
          <w:lang w:val="en-US" w:eastAsia="zh-CN"/>
        </w:rPr>
        <w:t>7个工作</w:t>
      </w:r>
      <w:r>
        <w:rPr>
          <w:rFonts w:hint="eastAsia" w:ascii="仿宋_GB2312" w:hAnsi="仿宋_GB2312" w:eastAsia="仿宋_GB2312" w:cs="仿宋_GB2312"/>
          <w:b/>
          <w:bCs/>
          <w:color w:val="auto"/>
          <w:sz w:val="28"/>
          <w:szCs w:val="28"/>
          <w:highlight w:val="none"/>
        </w:rPr>
        <w:t>日内</w:t>
      </w:r>
      <w:r>
        <w:rPr>
          <w:rFonts w:hint="eastAsia" w:ascii="仿宋_GB2312" w:hAnsi="仿宋_GB2312" w:eastAsia="仿宋_GB2312" w:cs="仿宋_GB2312"/>
          <w:color w:val="auto"/>
          <w:sz w:val="28"/>
          <w:szCs w:val="28"/>
          <w:highlight w:val="none"/>
        </w:rPr>
        <w:t>与采购人签订采购合同。由于成交供应商的原因逾期未与采购人签订采购合同的，将视为放弃成交，取消其成交资格并将按相关规定进行处理。</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26.2 磋商文件、变更（补遗）文件、成交供应商的响应文件及双方确认的澄清文件等，均为有法律约束力的合同组成部分。</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2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26.4 成交供应商因不可抗力原因不能履行采购合同或放弃成交的，采购人可以与排在成交供应商之后第一顺位的成交候选人签订采购合同，以此类推。</w:t>
      </w:r>
    </w:p>
    <w:p>
      <w:pPr>
        <w:tabs>
          <w:tab w:val="left" w:pos="280"/>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26.5 经采购人同意，成交供应商可以依法采取分包方式履行合同。分包履行合同的部分应当为磋商项目的非主体、非关键性工作，不属于成交供应商的主要合同义务。采购合同实行分包履行的，成交供应商就采购项目和分包项目向采购人负责，分包商就分包项目承担责任。</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26.6 成交供应商应保证在本项目中使用的任何产品和服务（包括部分使用），不会产生因第三方提出侵犯其专利权、商标权或其它知识产权而引起的法律和经济纠纷，如因专利权、商标权或其它知识产权而引起法律和经济纠纷，由成交供应商承担所有相关责任。采购人享有本项目实施过程中产生的知识成果及知识产权。</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26.7 竞争性磋商文件、成交供应商提交的响应文件、磋商中的最后报价、成交供应商承诺书、成交通知书等均称为有法律约束力的合同组成内容。</w:t>
      </w:r>
    </w:p>
    <w:p>
      <w:pPr>
        <w:pStyle w:val="5"/>
        <w:keepNext w:val="0"/>
        <w:keepLines w:val="0"/>
        <w:spacing w:before="0" w:line="480" w:lineRule="exact"/>
        <w:ind w:firstLine="562" w:firstLineChars="200"/>
        <w:rPr>
          <w:rFonts w:ascii="仿宋_GB2312" w:hAnsi="仿宋_GB2312" w:eastAsia="仿宋_GB2312" w:cs="仿宋_GB2312"/>
          <w:color w:val="auto"/>
          <w:sz w:val="28"/>
          <w:szCs w:val="28"/>
          <w:highlight w:val="none"/>
        </w:rPr>
      </w:pPr>
      <w:bookmarkStart w:id="182" w:name="_Toc13511"/>
      <w:bookmarkStart w:id="183" w:name="_Toc2860"/>
      <w:bookmarkStart w:id="184" w:name="_Toc25969"/>
      <w:bookmarkStart w:id="185" w:name="_Toc19456"/>
      <w:bookmarkStart w:id="186" w:name="_Toc11394"/>
      <w:r>
        <w:rPr>
          <w:rFonts w:hint="eastAsia" w:ascii="仿宋_GB2312" w:hAnsi="仿宋_GB2312" w:eastAsia="仿宋_GB2312" w:cs="仿宋_GB2312"/>
          <w:color w:val="auto"/>
          <w:sz w:val="28"/>
          <w:szCs w:val="28"/>
          <w:highlight w:val="none"/>
        </w:rPr>
        <w:t>27. 合同分包（实质性要求）</w:t>
      </w:r>
      <w:bookmarkEnd w:id="182"/>
      <w:bookmarkEnd w:id="183"/>
      <w:bookmarkEnd w:id="184"/>
      <w:bookmarkEnd w:id="185"/>
      <w:bookmarkEnd w:id="186"/>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分包履行合同的部分应当为采购项目的非主体、非关键性工作，不属于成交供应商的主要合同义务。</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27.2 采购合同实行分包履行的，成交供应商就采购项目和分包项目向采购人负责，分包供应商就分包项目承担责任。</w:t>
      </w:r>
    </w:p>
    <w:p>
      <w:pPr>
        <w:pStyle w:val="5"/>
        <w:keepNext w:val="0"/>
        <w:keepLines w:val="0"/>
        <w:spacing w:before="0" w:line="480" w:lineRule="exact"/>
        <w:ind w:firstLine="562" w:firstLineChars="200"/>
        <w:rPr>
          <w:rFonts w:ascii="仿宋_GB2312" w:hAnsi="仿宋_GB2312" w:eastAsia="仿宋_GB2312" w:cs="仿宋_GB2312"/>
          <w:color w:val="auto"/>
          <w:sz w:val="28"/>
          <w:szCs w:val="28"/>
          <w:highlight w:val="none"/>
        </w:rPr>
      </w:pPr>
      <w:bookmarkStart w:id="187" w:name="_Toc17759"/>
      <w:bookmarkStart w:id="188" w:name="_Toc25309"/>
      <w:bookmarkStart w:id="189" w:name="_Toc18086"/>
      <w:bookmarkStart w:id="190" w:name="_Toc26207"/>
      <w:bookmarkStart w:id="191" w:name="_Toc610"/>
      <w:r>
        <w:rPr>
          <w:rFonts w:hint="eastAsia" w:ascii="仿宋_GB2312" w:hAnsi="仿宋_GB2312" w:eastAsia="仿宋_GB2312" w:cs="仿宋_GB2312"/>
          <w:color w:val="auto"/>
          <w:sz w:val="28"/>
          <w:szCs w:val="28"/>
          <w:highlight w:val="none"/>
        </w:rPr>
        <w:t>28. 合同转包（实质性要求）</w:t>
      </w:r>
      <w:bookmarkEnd w:id="187"/>
      <w:bookmarkEnd w:id="188"/>
      <w:bookmarkEnd w:id="189"/>
      <w:bookmarkEnd w:id="190"/>
      <w:bookmarkEnd w:id="191"/>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成交供应商转包的，视同拒绝履行采购合同义务，将依法追究法律责任。</w:t>
      </w:r>
      <w:bookmarkEnd w:id="175"/>
      <w:bookmarkEnd w:id="176"/>
      <w:bookmarkEnd w:id="177"/>
      <w:bookmarkEnd w:id="178"/>
      <w:bookmarkEnd w:id="179"/>
      <w:bookmarkEnd w:id="180"/>
      <w:bookmarkEnd w:id="181"/>
    </w:p>
    <w:p>
      <w:pPr>
        <w:spacing w:line="480" w:lineRule="exact"/>
        <w:ind w:firstLine="562" w:firstLineChars="200"/>
        <w:rPr>
          <w:rFonts w:ascii="仿宋_GB2312" w:hAnsi="仿宋_GB2312" w:eastAsia="仿宋_GB2312" w:cs="仿宋_GB2312"/>
          <w:b/>
          <w:bCs/>
          <w:color w:val="auto"/>
          <w:sz w:val="28"/>
          <w:szCs w:val="28"/>
          <w:highlight w:val="none"/>
        </w:rPr>
      </w:pPr>
      <w:bookmarkStart w:id="192" w:name="_Toc96761111"/>
      <w:r>
        <w:rPr>
          <w:rFonts w:hint="eastAsia" w:ascii="仿宋_GB2312" w:hAnsi="仿宋_GB2312" w:eastAsia="仿宋_GB2312" w:cs="仿宋_GB2312"/>
          <w:b/>
          <w:bCs/>
          <w:color w:val="auto"/>
          <w:sz w:val="28"/>
          <w:szCs w:val="28"/>
          <w:highlight w:val="none"/>
        </w:rPr>
        <w:t>29.</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补充合同</w:t>
      </w:r>
      <w:bookmarkEnd w:id="192"/>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合同履行过程中，采购人需要追加与合同标的相同的工程或者与工程有关的货物、服务的，在不改变合同其他条款的前提下，可以与成交供应商协商签订补充合同，但该补充合同应当在原采购合同履行过程中，不得在原采购合同履行结束后，且采购工程或者与工程有关的货物、服务的名称、价格、履约方式、验收标准等必须与原采购合同一致。</w:t>
      </w:r>
      <w:bookmarkStart w:id="193" w:name="_Toc96761113"/>
    </w:p>
    <w:p>
      <w:pPr>
        <w:spacing w:line="4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30.</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履约保证金（如涉及，实质性要求）</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30.1 成交供应商应在合同签订之前交纳磋商文件规定数额的履约保证金。</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30.2 如果成交供应商在规定的合同签订时间内，没有按照磋商文件的规定交纳履约保证金，且又无正当理由的，将视为放弃成交。</w:t>
      </w:r>
    </w:p>
    <w:p>
      <w:pPr>
        <w:spacing w:line="4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31.</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履行合同</w:t>
      </w:r>
      <w:bookmarkEnd w:id="193"/>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31.1 成交供应商与采购人签订合同后，合同双方应严格执行合同条款，履行合同规定的义务，保证合同的顺利完成。</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31.2 在合同履行过程中，如发生合同纠纷，合同双方应按照《中华人民共和国民法典》的有关规定进行处理。</w:t>
      </w:r>
    </w:p>
    <w:p>
      <w:pPr>
        <w:spacing w:line="4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32.</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验收</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本项目采购人将按相关规定进行验收。</w:t>
      </w:r>
    </w:p>
    <w:p>
      <w:pPr>
        <w:spacing w:line="4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33.</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资金支付</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采购人将按照采购合同规定，及时向成交供应商支付采购资金。</w:t>
      </w:r>
    </w:p>
    <w:p>
      <w:pPr>
        <w:spacing w:before="260" w:after="260" w:line="500" w:lineRule="exact"/>
        <w:jc w:val="center"/>
        <w:rPr>
          <w:rFonts w:ascii="仿宋_GB2312" w:hAnsi="仿宋_GB2312" w:eastAsia="仿宋_GB2312" w:cs="仿宋_GB2312"/>
          <w:color w:val="auto"/>
          <w:sz w:val="28"/>
          <w:szCs w:val="28"/>
          <w:highlight w:val="none"/>
        </w:rPr>
      </w:pPr>
      <w:bookmarkStart w:id="194" w:name="_Toc96761116"/>
      <w:bookmarkStart w:id="195" w:name="_Toc96446254"/>
      <w:r>
        <w:rPr>
          <w:rFonts w:hint="eastAsia" w:ascii="楷体_GB2312" w:hAnsi="楷体_GB2312" w:eastAsia="楷体_GB2312" w:cs="楷体_GB2312"/>
          <w:b/>
          <w:bCs/>
          <w:color w:val="auto"/>
          <w:sz w:val="36"/>
          <w:szCs w:val="36"/>
          <w:highlight w:val="none"/>
        </w:rPr>
        <w:t>八、磋商纪律要求</w:t>
      </w:r>
      <w:bookmarkEnd w:id="194"/>
      <w:bookmarkEnd w:id="195"/>
    </w:p>
    <w:p>
      <w:pPr>
        <w:spacing w:line="480" w:lineRule="exact"/>
        <w:ind w:firstLine="562" w:firstLineChars="200"/>
        <w:rPr>
          <w:rFonts w:ascii="仿宋_GB2312" w:hAnsi="仿宋_GB2312" w:eastAsia="仿宋_GB2312" w:cs="仿宋_GB2312"/>
          <w:b/>
          <w:bCs/>
          <w:color w:val="auto"/>
          <w:sz w:val="28"/>
          <w:szCs w:val="28"/>
          <w:highlight w:val="none"/>
        </w:rPr>
      </w:pPr>
      <w:bookmarkStart w:id="196" w:name="_Toc96761117"/>
      <w:r>
        <w:rPr>
          <w:rFonts w:hint="eastAsia" w:ascii="仿宋_GB2312" w:hAnsi="仿宋_GB2312" w:eastAsia="仿宋_GB2312" w:cs="仿宋_GB2312"/>
          <w:b/>
          <w:bCs/>
          <w:color w:val="auto"/>
          <w:sz w:val="28"/>
          <w:szCs w:val="28"/>
          <w:highlight w:val="none"/>
        </w:rPr>
        <w:t>34.</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供应商不得具有的情形</w:t>
      </w:r>
      <w:bookmarkEnd w:id="196"/>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（1）提供虚假材料谋取成交；</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（2）采取不正当手段诋毁、排挤其他供应商；</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（3）与采购人、采购代理机构、或其他供应商恶意串通；</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（4）向采购人、采购代理机构、磋商小组成员行贿或者提供其他不正当利益；</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（5）在磋商过程中与采购人、采购代理机构进行协商；</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（6）成交后无正当理由拒不与采购人签订采购合同；</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（7）未按照磋商文件确定的事项签订采购合同；</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（8）将采购合同转包或者违规分包；</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（9）提供假冒伪劣产品；</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（10）擅自变更、中止或者终止采购合同；</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（11）拒绝有关部门的监督检查或者向监督检查部门提供虚假情况；</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（12）法律法规规定的其他情形。</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供应商有上述情形</w:t>
      </w:r>
      <w:r>
        <w:rPr>
          <w:rFonts w:hint="eastAsia" w:ascii="仿宋_GB2312" w:hAnsi="仿宋_GB2312" w:cs="仿宋_GB2312"/>
          <w:color w:val="auto"/>
          <w:sz w:val="28"/>
          <w:szCs w:val="28"/>
          <w:highlight w:val="none"/>
        </w:rPr>
        <w:t>之一</w:t>
      </w:r>
      <w:r>
        <w:rPr>
          <w:rFonts w:hint="eastAsia" w:ascii="仿宋_GB2312" w:hAnsi="仿宋_GB2312" w:eastAsia="仿宋_GB2312" w:cs="仿宋_GB2312"/>
          <w:color w:val="auto"/>
          <w:sz w:val="28"/>
          <w:szCs w:val="28"/>
          <w:highlight w:val="none"/>
        </w:rPr>
        <w:t>的，</w:t>
      </w:r>
      <w:r>
        <w:rPr>
          <w:rFonts w:hint="eastAsia" w:ascii="仿宋_GB2312" w:hAnsi="仿宋_GB2312" w:cs="仿宋_GB2312"/>
          <w:color w:val="auto"/>
          <w:sz w:val="28"/>
          <w:szCs w:val="28"/>
          <w:highlight w:val="none"/>
        </w:rPr>
        <w:t>除</w:t>
      </w:r>
      <w:r>
        <w:rPr>
          <w:rFonts w:hint="eastAsia" w:ascii="仿宋_GB2312" w:hAnsi="仿宋_GB2312" w:eastAsia="仿宋_GB2312" w:cs="仿宋_GB2312"/>
          <w:color w:val="auto"/>
          <w:sz w:val="28"/>
          <w:szCs w:val="28"/>
          <w:highlight w:val="none"/>
        </w:rPr>
        <w:t>按照规定追究法律责任，同时将取消被确认为成交供应商的资格或者认定成交无效。</w:t>
      </w:r>
    </w:p>
    <w:p>
      <w:pPr>
        <w:tabs>
          <w:tab w:val="left" w:pos="851"/>
        </w:tabs>
        <w:spacing w:before="260" w:after="260" w:line="500" w:lineRule="exact"/>
        <w:jc w:val="center"/>
        <w:rPr>
          <w:rFonts w:ascii="仿宋_GB2312" w:hAnsi="仿宋_GB2312" w:eastAsia="仿宋_GB2312" w:cs="仿宋_GB2312"/>
          <w:b/>
          <w:color w:val="auto"/>
          <w:sz w:val="28"/>
          <w:szCs w:val="28"/>
          <w:highlight w:val="none"/>
        </w:rPr>
      </w:pPr>
      <w:r>
        <w:rPr>
          <w:rFonts w:hint="eastAsia" w:ascii="楷体_GB2312" w:hAnsi="楷体_GB2312" w:eastAsia="楷体_GB2312" w:cs="楷体_GB2312"/>
          <w:b/>
          <w:color w:val="auto"/>
          <w:sz w:val="36"/>
          <w:szCs w:val="36"/>
          <w:highlight w:val="none"/>
        </w:rPr>
        <w:t>九、其  他</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 本磋商文件中所引</w:t>
      </w:r>
      <w:r>
        <w:rPr>
          <w:rFonts w:hint="eastAsia" w:ascii="仿宋_GB2312" w:hAnsi="仿宋_GB2312" w:cs="仿宋_GB2312"/>
          <w:color w:val="auto"/>
          <w:sz w:val="28"/>
          <w:szCs w:val="28"/>
          <w:highlight w:val="none"/>
        </w:rPr>
        <w:t>用</w:t>
      </w:r>
      <w:r>
        <w:rPr>
          <w:rFonts w:hint="eastAsia" w:ascii="仿宋_GB2312" w:hAnsi="仿宋_GB2312" w:eastAsia="仿宋_GB2312" w:cs="仿宋_GB2312"/>
          <w:color w:val="auto"/>
          <w:sz w:val="28"/>
          <w:szCs w:val="28"/>
          <w:highlight w:val="none"/>
        </w:rPr>
        <w:t>相关法律制度规定，在采购</w:t>
      </w:r>
      <w:r>
        <w:rPr>
          <w:rFonts w:hint="eastAsia" w:ascii="仿宋_GB2312" w:hAnsi="仿宋_GB2312" w:cs="仿宋_GB2312"/>
          <w:color w:val="auto"/>
          <w:sz w:val="28"/>
          <w:szCs w:val="28"/>
          <w:highlight w:val="none"/>
        </w:rPr>
        <w:t>过程</w:t>
      </w:r>
      <w:r>
        <w:rPr>
          <w:rFonts w:hint="eastAsia" w:ascii="仿宋_GB2312" w:hAnsi="仿宋_GB2312" w:eastAsia="仿宋_GB2312" w:cs="仿宋_GB2312"/>
          <w:color w:val="auto"/>
          <w:sz w:val="28"/>
          <w:szCs w:val="28"/>
          <w:highlight w:val="none"/>
        </w:rPr>
        <w:t>中</w:t>
      </w:r>
      <w:r>
        <w:rPr>
          <w:rFonts w:hint="eastAsia" w:ascii="仿宋_GB2312" w:hAnsi="仿宋_GB2312" w:cs="仿宋_GB2312"/>
          <w:color w:val="auto"/>
          <w:sz w:val="28"/>
          <w:szCs w:val="28"/>
          <w:highlight w:val="none"/>
        </w:rPr>
        <w:t>如</w:t>
      </w:r>
      <w:r>
        <w:rPr>
          <w:rFonts w:hint="eastAsia" w:ascii="仿宋_GB2312" w:hAnsi="仿宋_GB2312" w:eastAsia="仿宋_GB2312" w:cs="仿宋_GB2312"/>
          <w:color w:val="auto"/>
          <w:sz w:val="28"/>
          <w:szCs w:val="28"/>
          <w:highlight w:val="none"/>
        </w:rPr>
        <w:t>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tabs>
          <w:tab w:val="left" w:pos="851"/>
        </w:tabs>
        <w:spacing w:line="48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36. 国家或行业主管部门对供应商和采购产品的技术标准、质量标准和资格资质条件等有强制性规定的，必须符合其要求。</w:t>
      </w:r>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 本磋商文件由采购人和采购代理机构负责解释。</w:t>
      </w:r>
    </w:p>
    <w:p>
      <w:pPr>
        <w:pStyle w:val="2"/>
        <w:snapToGrid w:val="0"/>
        <w:textAlignment w:val="baseline"/>
        <w:rPr>
          <w:rFonts w:ascii="仿宋_GB2312" w:hAnsi="仿宋_GB2312" w:eastAsia="仿宋_GB2312" w:cs="仿宋_GB2312"/>
          <w:color w:val="auto"/>
          <w:sz w:val="28"/>
          <w:szCs w:val="28"/>
          <w:highlight w:val="none"/>
        </w:rPr>
      </w:pPr>
    </w:p>
    <w:p>
      <w:pPr>
        <w:pStyle w:val="2"/>
        <w:snapToGrid w:val="0"/>
        <w:textAlignment w:val="baseline"/>
        <w:rPr>
          <w:rFonts w:ascii="仿宋_GB2312" w:hAnsi="仿宋_GB2312" w:eastAsia="仿宋_GB2312" w:cs="仿宋_GB2312"/>
          <w:color w:val="auto"/>
          <w:sz w:val="28"/>
          <w:szCs w:val="28"/>
          <w:highlight w:val="none"/>
        </w:rPr>
      </w:pPr>
    </w:p>
    <w:p>
      <w:pPr>
        <w:snapToGrid w:val="0"/>
        <w:textAlignment w:val="baseline"/>
        <w:rPr>
          <w:rFonts w:ascii="仿宋_GB2312" w:hAnsi="仿宋_GB2312" w:eastAsia="仿宋_GB2312" w:cs="仿宋_GB2312"/>
          <w:color w:val="auto"/>
          <w:sz w:val="28"/>
          <w:szCs w:val="28"/>
          <w:highlight w:val="none"/>
        </w:rPr>
        <w:sectPr>
          <w:footerReference r:id="rId8" w:type="default"/>
          <w:pgSz w:w="11907" w:h="16839"/>
          <w:pgMar w:top="1440" w:right="1797" w:bottom="1440" w:left="1797" w:header="851" w:footer="850" w:gutter="0"/>
          <w:pgBorders>
            <w:top w:val="none" w:sz="0" w:space="0"/>
            <w:left w:val="none" w:sz="0" w:space="0"/>
            <w:bottom w:val="none" w:sz="0" w:space="0"/>
            <w:right w:val="none" w:sz="0" w:space="0"/>
          </w:pgBorders>
          <w:pgNumType w:fmt="decimal" w:start="1"/>
          <w:cols w:space="720" w:num="1"/>
          <w:docGrid w:linePitch="312" w:charSpace="0"/>
        </w:sectPr>
      </w:pPr>
    </w:p>
    <w:bookmarkEnd w:id="78"/>
    <w:bookmarkEnd w:id="79"/>
    <w:bookmarkEnd w:id="80"/>
    <w:bookmarkEnd w:id="81"/>
    <w:bookmarkEnd w:id="82"/>
    <w:bookmarkEnd w:id="83"/>
    <w:p>
      <w:pPr>
        <w:pStyle w:val="3"/>
        <w:jc w:val="center"/>
        <w:rPr>
          <w:rFonts w:ascii="黑体" w:hAnsi="黑体" w:eastAsia="黑体" w:cs="黑体"/>
          <w:color w:val="auto"/>
          <w:sz w:val="36"/>
          <w:szCs w:val="36"/>
          <w:highlight w:val="none"/>
        </w:rPr>
      </w:pPr>
      <w:bookmarkStart w:id="197" w:name="_Toc9341"/>
      <w:bookmarkStart w:id="198" w:name="_Toc519708708"/>
      <w:bookmarkStart w:id="199" w:name="_Toc12952"/>
      <w:bookmarkStart w:id="200" w:name="_Toc24738"/>
      <w:bookmarkStart w:id="201" w:name="_Toc8915"/>
      <w:bookmarkStart w:id="202" w:name="_Toc10579"/>
      <w:bookmarkStart w:id="203" w:name="_Toc5155"/>
      <w:bookmarkStart w:id="204" w:name="_Toc10646"/>
      <w:bookmarkStart w:id="205" w:name="_Toc22402"/>
      <w:bookmarkStart w:id="206" w:name="_Toc15278"/>
      <w:bookmarkStart w:id="207" w:name="_Toc42015019"/>
      <w:bookmarkStart w:id="208" w:name="_Toc19871"/>
      <w:bookmarkStart w:id="209" w:name="_Toc42014954"/>
      <w:bookmarkStart w:id="210" w:name="_Toc514409265"/>
      <w:bookmarkStart w:id="211" w:name="_Toc15316"/>
      <w:bookmarkStart w:id="212" w:name="_Toc514424483"/>
      <w:bookmarkStart w:id="213" w:name="_Toc42015220"/>
      <w:bookmarkStart w:id="214" w:name="_Toc27915"/>
      <w:bookmarkStart w:id="215" w:name="_Toc18359"/>
      <w:bookmarkStart w:id="216" w:name="_Toc10081"/>
      <w:bookmarkStart w:id="217" w:name="_Toc1664"/>
      <w:bookmarkStart w:id="218" w:name="_Toc107"/>
      <w:bookmarkStart w:id="219" w:name="_Toc5067"/>
      <w:bookmarkStart w:id="220" w:name="_Toc18367"/>
      <w:bookmarkStart w:id="221" w:name="_Toc9335"/>
      <w:bookmarkStart w:id="222" w:name="_Toc12390"/>
      <w:bookmarkStart w:id="223" w:name="_Toc11805"/>
      <w:r>
        <w:rPr>
          <w:rFonts w:hint="eastAsia" w:ascii="黑体" w:hAnsi="黑体" w:eastAsia="黑体" w:cs="黑体"/>
          <w:color w:val="auto"/>
          <w:sz w:val="36"/>
          <w:szCs w:val="36"/>
          <w:highlight w:val="none"/>
        </w:rPr>
        <w:t xml:space="preserve">第三章  </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ascii="黑体" w:hAnsi="黑体" w:eastAsia="黑体" w:cs="黑体"/>
          <w:color w:val="auto"/>
          <w:sz w:val="36"/>
          <w:szCs w:val="36"/>
          <w:highlight w:val="none"/>
        </w:rPr>
        <w:t>采购人要求</w:t>
      </w:r>
      <w:bookmarkEnd w:id="214"/>
      <w:bookmarkEnd w:id="215"/>
      <w:bookmarkEnd w:id="216"/>
      <w:bookmarkEnd w:id="217"/>
      <w:bookmarkEnd w:id="218"/>
      <w:bookmarkEnd w:id="219"/>
      <w:bookmarkEnd w:id="220"/>
      <w:bookmarkEnd w:id="221"/>
      <w:bookmarkEnd w:id="222"/>
      <w:bookmarkEnd w:id="223"/>
    </w:p>
    <w:p>
      <w:pPr>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p>
    <w:p>
      <w:pPr>
        <w:pStyle w:val="31"/>
        <w:spacing w:afterLines="0" w:line="480" w:lineRule="exact"/>
        <w:ind w:left="0" w:leftChars="0" w:firstLine="562" w:firstLineChars="200"/>
        <w:jc w:val="both"/>
        <w:rPr>
          <w:rFonts w:ascii="仿宋_GB2312" w:hAnsi="仿宋_GB2312" w:eastAsia="仿宋_GB2312" w:cs="仿宋_GB2312"/>
          <w:b/>
          <w:bCs/>
          <w:color w:val="FF0000"/>
          <w:sz w:val="28"/>
          <w:szCs w:val="28"/>
          <w:highlight w:val="none"/>
        </w:rPr>
      </w:pPr>
      <w:r>
        <w:rPr>
          <w:rFonts w:hint="eastAsia" w:ascii="仿宋_GB2312" w:hAnsi="仿宋_GB2312" w:eastAsia="仿宋_GB2312" w:cs="仿宋_GB2312"/>
          <w:b/>
          <w:bCs/>
          <w:color w:val="FF0000"/>
          <w:sz w:val="28"/>
          <w:szCs w:val="28"/>
          <w:highlight w:val="none"/>
        </w:rPr>
        <w:t>一、项目简介</w:t>
      </w:r>
    </w:p>
    <w:p>
      <w:pPr>
        <w:pStyle w:val="4"/>
        <w:keepNext w:val="0"/>
        <w:keepLines w:val="0"/>
        <w:tabs>
          <w:tab w:val="left" w:pos="840"/>
        </w:tabs>
        <w:spacing w:before="0" w:line="480" w:lineRule="exact"/>
        <w:ind w:firstLine="560" w:firstLineChars="200"/>
        <w:rPr>
          <w:rFonts w:ascii="仿宋_GB2312" w:hAnsi="仿宋" w:eastAsia="仿宋_GB2312" w:cs="仿宋"/>
          <w:b w:val="0"/>
          <w:bCs w:val="0"/>
          <w:color w:val="FF0000"/>
          <w:sz w:val="28"/>
          <w:szCs w:val="24"/>
          <w:highlight w:val="none"/>
        </w:rPr>
      </w:pPr>
      <w:bookmarkStart w:id="224" w:name="_Toc28806"/>
      <w:bookmarkStart w:id="225" w:name="_Toc16606"/>
      <w:bookmarkStart w:id="226" w:name="_Toc7273"/>
      <w:bookmarkStart w:id="227" w:name="_Toc24458"/>
      <w:bookmarkStart w:id="228" w:name="_Toc4639"/>
      <w:r>
        <w:rPr>
          <w:rFonts w:hint="eastAsia" w:ascii="仿宋_GB2312" w:hAnsi="仿宋" w:eastAsia="仿宋_GB2312" w:cs="仿宋"/>
          <w:b w:val="0"/>
          <w:bCs w:val="0"/>
          <w:color w:val="FF0000"/>
          <w:sz w:val="28"/>
          <w:szCs w:val="24"/>
          <w:highlight w:val="none"/>
        </w:rPr>
        <w:t>（一）项目地点</w:t>
      </w:r>
      <w:r>
        <w:rPr>
          <w:rFonts w:hint="eastAsia" w:ascii="仿宋_GB2312" w:hAnsi="仿宋" w:eastAsia="仿宋_GB2312" w:cs="仿宋"/>
          <w:b w:val="0"/>
          <w:bCs w:val="0"/>
          <w:color w:val="FF0000"/>
          <w:sz w:val="28"/>
          <w:szCs w:val="24"/>
          <w:highlight w:val="none"/>
          <w:lang w:val="en-US" w:eastAsia="zh-CN"/>
        </w:rPr>
        <w:t>：</w:t>
      </w:r>
      <w:r>
        <w:rPr>
          <w:rFonts w:hint="eastAsia" w:ascii="仿宋_GB2312" w:hAnsi="仿宋" w:eastAsia="仿宋_GB2312" w:cs="仿宋"/>
          <w:b w:val="0"/>
          <w:bCs w:val="0"/>
          <w:color w:val="FF0000"/>
          <w:sz w:val="28"/>
          <w:szCs w:val="24"/>
          <w:highlight w:val="none"/>
        </w:rPr>
        <w:t>；</w:t>
      </w:r>
      <w:bookmarkEnd w:id="224"/>
      <w:bookmarkEnd w:id="225"/>
      <w:bookmarkEnd w:id="226"/>
      <w:bookmarkEnd w:id="227"/>
    </w:p>
    <w:p>
      <w:pPr>
        <w:pStyle w:val="4"/>
        <w:keepNext w:val="0"/>
        <w:keepLines w:val="0"/>
        <w:tabs>
          <w:tab w:val="left" w:pos="840"/>
        </w:tabs>
        <w:spacing w:before="0" w:line="480" w:lineRule="exact"/>
        <w:ind w:firstLine="560" w:firstLineChars="200"/>
        <w:rPr>
          <w:rFonts w:ascii="仿宋_GB2312" w:hAnsi="仿宋" w:eastAsia="仿宋_GB2312" w:cs="仿宋"/>
          <w:b w:val="0"/>
          <w:bCs w:val="0"/>
          <w:color w:val="FF0000"/>
          <w:sz w:val="28"/>
          <w:szCs w:val="24"/>
          <w:highlight w:val="none"/>
        </w:rPr>
      </w:pPr>
      <w:bookmarkStart w:id="229" w:name="_Toc25300"/>
      <w:bookmarkStart w:id="230" w:name="_Toc24816"/>
      <w:bookmarkStart w:id="231" w:name="_Toc26113"/>
      <w:bookmarkStart w:id="232" w:name="_Toc4691"/>
      <w:r>
        <w:rPr>
          <w:rFonts w:hint="eastAsia" w:ascii="仿宋_GB2312" w:hAnsi="仿宋" w:eastAsia="仿宋_GB2312" w:cs="仿宋"/>
          <w:b w:val="0"/>
          <w:bCs w:val="0"/>
          <w:color w:val="FF0000"/>
          <w:sz w:val="28"/>
          <w:szCs w:val="24"/>
          <w:highlight w:val="none"/>
        </w:rPr>
        <w:t>（二）项目概况：</w:t>
      </w:r>
      <w:bookmarkEnd w:id="229"/>
      <w:bookmarkEnd w:id="230"/>
      <w:bookmarkEnd w:id="231"/>
      <w:bookmarkEnd w:id="232"/>
      <w:bookmarkStart w:id="233" w:name="_Toc7553"/>
      <w:bookmarkStart w:id="234" w:name="_Toc20946"/>
      <w:bookmarkStart w:id="235" w:name="_Toc26330"/>
      <w:bookmarkStart w:id="236" w:name="_Toc27101"/>
      <w:r>
        <w:rPr>
          <w:rFonts w:hint="eastAsia" w:ascii="仿宋_GB2312" w:hAnsi="仿宋" w:eastAsia="仿宋_GB2312" w:cs="仿宋"/>
          <w:b w:val="0"/>
          <w:bCs w:val="0"/>
          <w:color w:val="FF0000"/>
          <w:sz w:val="28"/>
          <w:szCs w:val="24"/>
          <w:highlight w:val="none"/>
        </w:rPr>
        <w:t>。</w:t>
      </w:r>
      <w:bookmarkEnd w:id="233"/>
      <w:bookmarkEnd w:id="234"/>
      <w:bookmarkEnd w:id="235"/>
      <w:bookmarkEnd w:id="236"/>
    </w:p>
    <w:p>
      <w:pPr>
        <w:pStyle w:val="4"/>
        <w:keepNext w:val="0"/>
        <w:keepLines w:val="0"/>
        <w:tabs>
          <w:tab w:val="left" w:pos="840"/>
        </w:tabs>
        <w:spacing w:before="0" w:line="480" w:lineRule="exact"/>
        <w:ind w:firstLine="562" w:firstLineChars="200"/>
        <w:rPr>
          <w:rFonts w:ascii="仿宋_GB2312" w:hAnsi="仿宋" w:eastAsia="仿宋_GB2312"/>
          <w:color w:val="FF0000"/>
          <w:sz w:val="28"/>
          <w:szCs w:val="24"/>
          <w:highlight w:val="none"/>
        </w:rPr>
      </w:pPr>
      <w:bookmarkStart w:id="237" w:name="_Toc29019"/>
      <w:bookmarkStart w:id="238" w:name="_Toc10099"/>
      <w:bookmarkStart w:id="239" w:name="_Toc26724"/>
      <w:bookmarkStart w:id="240" w:name="_Toc14623"/>
      <w:r>
        <w:rPr>
          <w:rFonts w:hint="eastAsia" w:ascii="仿宋_GB2312" w:hAnsi="仿宋" w:eastAsia="仿宋_GB2312" w:cs="仿宋"/>
          <w:color w:val="FF0000"/>
          <w:sz w:val="28"/>
          <w:szCs w:val="24"/>
          <w:highlight w:val="none"/>
        </w:rPr>
        <w:t>二、 技术、服务、合同条款要求</w:t>
      </w:r>
      <w:bookmarkEnd w:id="228"/>
      <w:bookmarkEnd w:id="237"/>
      <w:bookmarkEnd w:id="238"/>
      <w:bookmarkEnd w:id="239"/>
      <w:bookmarkEnd w:id="240"/>
    </w:p>
    <w:tbl>
      <w:tblPr>
        <w:tblStyle w:val="32"/>
        <w:tblW w:w="8343" w:type="dxa"/>
        <w:jc w:val="center"/>
        <w:tblLayout w:type="fixed"/>
        <w:tblCellMar>
          <w:top w:w="0" w:type="dxa"/>
          <w:left w:w="108" w:type="dxa"/>
          <w:bottom w:w="0" w:type="dxa"/>
          <w:right w:w="108" w:type="dxa"/>
        </w:tblCellMar>
      </w:tblPr>
      <w:tblGrid>
        <w:gridCol w:w="877"/>
        <w:gridCol w:w="2676"/>
        <w:gridCol w:w="4790"/>
      </w:tblGrid>
      <w:tr>
        <w:tblPrEx>
          <w:tblCellMar>
            <w:top w:w="0" w:type="dxa"/>
            <w:left w:w="108" w:type="dxa"/>
            <w:bottom w:w="0" w:type="dxa"/>
            <w:right w:w="108" w:type="dxa"/>
          </w:tblCellMar>
        </w:tblPrEx>
        <w:trPr>
          <w:trHeight w:val="5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b/>
                <w:bCs/>
                <w:color w:val="FF0000"/>
                <w:sz w:val="24"/>
                <w:highlight w:val="none"/>
              </w:rPr>
            </w:pPr>
            <w:r>
              <w:rPr>
                <w:rFonts w:hint="eastAsia" w:ascii="仿宋" w:hAnsi="仿宋" w:eastAsia="仿宋" w:cs="仿宋"/>
                <w:b/>
                <w:bCs/>
                <w:color w:val="FF0000"/>
                <w:sz w:val="24"/>
                <w:highlight w:val="none"/>
              </w:rPr>
              <w:t>序号</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b/>
                <w:bCs/>
                <w:color w:val="FF0000"/>
                <w:sz w:val="24"/>
                <w:highlight w:val="none"/>
              </w:rPr>
            </w:pPr>
            <w:r>
              <w:rPr>
                <w:rFonts w:hint="eastAsia" w:ascii="仿宋" w:hAnsi="仿宋" w:eastAsia="仿宋" w:cs="仿宋"/>
                <w:b/>
                <w:bCs/>
                <w:color w:val="FF0000"/>
                <w:sz w:val="24"/>
                <w:highlight w:val="none"/>
              </w:rPr>
              <w:t>项目</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仿宋"/>
                <w:b/>
                <w:bCs/>
                <w:color w:val="FF0000"/>
                <w:sz w:val="24"/>
                <w:highlight w:val="none"/>
              </w:rPr>
            </w:pPr>
            <w:r>
              <w:rPr>
                <w:rFonts w:hint="eastAsia" w:ascii="仿宋" w:hAnsi="仿宋" w:eastAsia="仿宋" w:cs="仿宋"/>
                <w:b/>
                <w:bCs/>
                <w:color w:val="FF0000"/>
                <w:sz w:val="24"/>
                <w:highlight w:val="none"/>
              </w:rPr>
              <w:t>要求</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1</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s="仿宋"/>
                <w:color w:val="FF0000"/>
                <w:sz w:val="24"/>
                <w:highlight w:val="none"/>
              </w:rPr>
            </w:pPr>
            <w:r>
              <w:rPr>
                <w:rFonts w:hint="eastAsia" w:ascii="仿宋" w:hAnsi="仿宋" w:eastAsia="仿宋" w:cs="仿宋"/>
                <w:color w:val="FF0000"/>
                <w:sz w:val="24"/>
                <w:highlight w:val="none"/>
              </w:rPr>
              <w:t>项目负责人（项目经理）</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rPr>
                <w:rFonts w:ascii="仿宋" w:hAnsi="仿宋" w:eastAsia="仿宋" w:cs="仿宋"/>
                <w:color w:val="FF0000"/>
                <w:sz w:val="24"/>
                <w:highlight w:val="none"/>
              </w:rPr>
            </w:pPr>
            <w:r>
              <w:rPr>
                <w:rFonts w:hint="eastAsia" w:ascii="仿宋" w:hAnsi="仿宋" w:eastAsia="仿宋" w:cs="仿宋"/>
                <w:color w:val="FF0000"/>
                <w:sz w:val="24"/>
                <w:highlight w:val="none"/>
              </w:rPr>
              <w:t>须具有全国注册建造师二级及以上资格、具有</w:t>
            </w:r>
            <w:r>
              <w:rPr>
                <w:rFonts w:hint="eastAsia" w:ascii="仿宋" w:hAnsi="仿宋" w:eastAsia="仿宋" w:cs="仿宋"/>
                <w:color w:val="FF0000"/>
                <w:sz w:val="24"/>
                <w:highlight w:val="none"/>
                <w:lang w:eastAsia="zh-CN"/>
              </w:rPr>
              <w:t>行政</w:t>
            </w:r>
            <w:r>
              <w:rPr>
                <w:rFonts w:hint="eastAsia" w:ascii="仿宋" w:hAnsi="仿宋" w:eastAsia="仿宋" w:cs="仿宋"/>
                <w:color w:val="FF0000"/>
                <w:sz w:val="24"/>
                <w:highlight w:val="none"/>
              </w:rPr>
              <w:t>主管部门颁发的安全生产考核合格 B 证证书。</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2</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s="仿宋"/>
                <w:color w:val="FF0000"/>
                <w:sz w:val="24"/>
                <w:highlight w:val="none"/>
              </w:rPr>
            </w:pPr>
            <w:r>
              <w:rPr>
                <w:rFonts w:hint="eastAsia" w:ascii="仿宋" w:hAnsi="仿宋" w:eastAsia="仿宋" w:cs="仿宋"/>
                <w:color w:val="FF0000"/>
                <w:sz w:val="24"/>
                <w:highlight w:val="none"/>
              </w:rPr>
              <w:t>技术负责人</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rPr>
                <w:rFonts w:ascii="仿宋" w:hAnsi="仿宋" w:eastAsia="仿宋" w:cs="仿宋"/>
                <w:color w:val="FF0000"/>
                <w:sz w:val="24"/>
                <w:highlight w:val="none"/>
              </w:rPr>
            </w:pPr>
            <w:r>
              <w:rPr>
                <w:rFonts w:hint="eastAsia" w:ascii="仿宋" w:hAnsi="仿宋" w:eastAsia="仿宋" w:cs="仿宋"/>
                <w:color w:val="FF0000"/>
                <w:sz w:val="24"/>
                <w:highlight w:val="none"/>
              </w:rPr>
              <w:t>须具有工程类专业中级及以上技术职称。</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3</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工期</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rPr>
                <w:rFonts w:hint="eastAsia" w:ascii="仿宋" w:hAnsi="仿宋" w:eastAsia="仿宋" w:cs="仿宋"/>
                <w:color w:val="FF0000"/>
                <w:sz w:val="24"/>
                <w:highlight w:val="none"/>
              </w:rPr>
            </w:pPr>
            <w:r>
              <w:rPr>
                <w:rFonts w:hint="eastAsia" w:ascii="仿宋" w:hAnsi="仿宋" w:eastAsia="仿宋" w:cs="仿宋"/>
                <w:color w:val="FF0000"/>
                <w:sz w:val="24"/>
                <w:szCs w:val="24"/>
                <w:highlight w:val="none"/>
                <w:lang w:val="en-US" w:eastAsia="zh-CN"/>
              </w:rPr>
              <w:t>1个月</w:t>
            </w:r>
            <w:r>
              <w:rPr>
                <w:rFonts w:hint="eastAsia" w:ascii="仿宋" w:hAnsi="仿宋" w:eastAsia="仿宋" w:cs="仿宋"/>
                <w:color w:val="FF0000"/>
                <w:sz w:val="24"/>
                <w:highlight w:val="none"/>
              </w:rPr>
              <w:t>。</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4</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s="仿宋"/>
                <w:color w:val="FF0000"/>
                <w:sz w:val="24"/>
                <w:highlight w:val="none"/>
              </w:rPr>
            </w:pPr>
            <w:r>
              <w:rPr>
                <w:rFonts w:hint="eastAsia" w:ascii="仿宋" w:hAnsi="仿宋" w:eastAsia="仿宋" w:cs="仿宋"/>
                <w:color w:val="FF0000"/>
                <w:sz w:val="24"/>
                <w:highlight w:val="none"/>
              </w:rPr>
              <w:t>缺陷责任期</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s="仿宋"/>
                <w:color w:val="FF0000"/>
                <w:sz w:val="24"/>
                <w:highlight w:val="none"/>
              </w:rPr>
            </w:pPr>
            <w:r>
              <w:rPr>
                <w:rFonts w:hint="eastAsia" w:ascii="仿宋" w:hAnsi="仿宋" w:eastAsia="仿宋" w:cs="仿宋"/>
                <w:color w:val="FF0000"/>
                <w:sz w:val="24"/>
                <w:highlight w:val="none"/>
              </w:rPr>
              <w:t>为自实际交工日期起计算2年。</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5</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s="仿宋"/>
                <w:color w:val="FF0000"/>
                <w:sz w:val="24"/>
                <w:highlight w:val="none"/>
              </w:rPr>
            </w:pPr>
            <w:r>
              <w:rPr>
                <w:rFonts w:hint="eastAsia" w:ascii="仿宋" w:hAnsi="仿宋" w:eastAsia="仿宋" w:cs="仿宋"/>
                <w:color w:val="FF0000"/>
                <w:sz w:val="24"/>
                <w:highlight w:val="none"/>
              </w:rPr>
              <w:t>保修期</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s="仿宋"/>
                <w:color w:val="FF0000"/>
                <w:sz w:val="24"/>
                <w:highlight w:val="none"/>
              </w:rPr>
            </w:pPr>
            <w:r>
              <w:rPr>
                <w:rFonts w:hint="eastAsia" w:ascii="仿宋" w:hAnsi="仿宋" w:eastAsia="仿宋" w:cs="仿宋"/>
                <w:color w:val="FF0000"/>
                <w:sz w:val="24"/>
                <w:highlight w:val="none"/>
              </w:rPr>
              <w:t>为自实际交工日期起计算5年。</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6</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分包</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rPr>
                <w:rFonts w:hint="eastAsia" w:ascii="仿宋" w:hAnsi="仿宋" w:eastAsia="仿宋" w:cs="仿宋"/>
                <w:color w:val="FF0000"/>
                <w:sz w:val="24"/>
                <w:szCs w:val="24"/>
                <w:highlight w:val="none"/>
              </w:rPr>
            </w:pPr>
            <w:r>
              <w:rPr>
                <w:rFonts w:hint="eastAsia" w:ascii="仿宋" w:hAnsi="仿宋" w:eastAsia="仿宋" w:cs="仿宋"/>
                <w:color w:val="FF0000"/>
                <w:sz w:val="24"/>
                <w:highlight w:val="none"/>
                <w:lang w:val="en-US" w:eastAsia="zh-CN"/>
              </w:rPr>
              <w:t>不</w:t>
            </w:r>
            <w:r>
              <w:rPr>
                <w:rFonts w:hint="eastAsia" w:ascii="仿宋" w:hAnsi="仿宋" w:eastAsia="仿宋" w:cs="仿宋"/>
                <w:color w:val="FF0000"/>
                <w:sz w:val="24"/>
                <w:highlight w:val="none"/>
              </w:rPr>
              <w:t>允许。</w:t>
            </w:r>
          </w:p>
        </w:tc>
      </w:tr>
      <w:tr>
        <w:tblPrEx>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7</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价格调整</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rPr>
                <w:rFonts w:hint="eastAsia" w:ascii="仿宋" w:hAnsi="仿宋" w:eastAsia="仿宋" w:cs="仿宋"/>
                <w:color w:val="FF0000"/>
                <w:sz w:val="24"/>
                <w:highlight w:val="none"/>
              </w:rPr>
            </w:pPr>
            <w:r>
              <w:rPr>
                <w:rFonts w:hint="eastAsia" w:ascii="仿宋" w:hAnsi="仿宋" w:eastAsia="仿宋" w:cs="仿宋"/>
                <w:color w:val="FF0000"/>
                <w:sz w:val="24"/>
                <w:highlight w:val="none"/>
              </w:rPr>
              <w:t>施工期不调整</w:t>
            </w:r>
          </w:p>
        </w:tc>
      </w:tr>
      <w:tr>
        <w:tblPrEx>
          <w:tblCellMar>
            <w:top w:w="0" w:type="dxa"/>
            <w:left w:w="108" w:type="dxa"/>
            <w:bottom w:w="0" w:type="dxa"/>
            <w:right w:w="108" w:type="dxa"/>
          </w:tblCellMar>
        </w:tblPrEx>
        <w:trPr>
          <w:trHeight w:val="74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仿宋"/>
                <w:color w:val="FF0000"/>
                <w:sz w:val="24"/>
                <w:highlight w:val="none"/>
              </w:rPr>
            </w:pPr>
            <w:r>
              <w:rPr>
                <w:rFonts w:hint="eastAsia" w:ascii="仿宋" w:hAnsi="仿宋" w:eastAsia="仿宋" w:cs="仿宋"/>
                <w:color w:val="FF0000"/>
                <w:sz w:val="24"/>
                <w:highlight w:val="none"/>
              </w:rPr>
              <w:t>8</w:t>
            </w:r>
          </w:p>
        </w:tc>
        <w:tc>
          <w:tcPr>
            <w:tcW w:w="2676"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cs="仿宋"/>
                <w:color w:val="FF0000"/>
                <w:kern w:val="0"/>
                <w:sz w:val="24"/>
                <w:highlight w:val="none"/>
              </w:rPr>
            </w:pPr>
            <w:r>
              <w:rPr>
                <w:rFonts w:hint="eastAsia" w:ascii="仿宋" w:hAnsi="仿宋" w:eastAsia="仿宋" w:cs="仿宋"/>
                <w:color w:val="FF0000"/>
                <w:kern w:val="0"/>
                <w:sz w:val="24"/>
                <w:highlight w:val="none"/>
              </w:rPr>
              <w:t>质量标准</w:t>
            </w:r>
          </w:p>
        </w:tc>
        <w:tc>
          <w:tcPr>
            <w:tcW w:w="4790" w:type="dxa"/>
            <w:tcBorders>
              <w:top w:val="single" w:color="auto" w:sz="4" w:space="0"/>
              <w:left w:val="nil"/>
              <w:bottom w:val="single" w:color="auto" w:sz="4" w:space="0"/>
              <w:right w:val="single" w:color="auto" w:sz="4" w:space="0"/>
            </w:tcBorders>
            <w:vAlign w:val="center"/>
          </w:tcPr>
          <w:p>
            <w:pPr>
              <w:spacing w:line="360" w:lineRule="auto"/>
              <w:ind w:right="21" w:rightChars="10"/>
              <w:rPr>
                <w:rFonts w:hint="eastAsia" w:ascii="仿宋" w:hAnsi="仿宋" w:eastAsia="仿宋" w:cs="仿宋"/>
                <w:color w:val="FF0000"/>
                <w:kern w:val="2"/>
                <w:sz w:val="24"/>
                <w:highlight w:val="none"/>
              </w:rPr>
            </w:pPr>
            <w:r>
              <w:rPr>
                <w:rFonts w:hint="eastAsia" w:ascii="仿宋" w:hAnsi="仿宋" w:eastAsia="仿宋" w:cs="仿宋"/>
                <w:color w:val="FF0000"/>
                <w:kern w:val="2"/>
                <w:sz w:val="24"/>
                <w:highlight w:val="none"/>
              </w:rPr>
              <w:t>标段工程交工验收的质量评定：合格。</w:t>
            </w:r>
          </w:p>
          <w:p>
            <w:pPr>
              <w:spacing w:line="360" w:lineRule="auto"/>
              <w:ind w:right="21" w:rightChars="10"/>
              <w:rPr>
                <w:rFonts w:hint="eastAsia" w:ascii="仿宋" w:hAnsi="仿宋" w:eastAsia="仿宋" w:cs="仿宋"/>
                <w:color w:val="FF0000"/>
                <w:kern w:val="2"/>
                <w:sz w:val="24"/>
                <w:highlight w:val="none"/>
              </w:rPr>
            </w:pPr>
            <w:r>
              <w:rPr>
                <w:rFonts w:hint="eastAsia" w:ascii="仿宋" w:hAnsi="仿宋" w:eastAsia="仿宋" w:cs="仿宋"/>
                <w:color w:val="FF0000"/>
                <w:kern w:val="2"/>
                <w:sz w:val="24"/>
                <w:highlight w:val="none"/>
              </w:rPr>
              <w:t>竣工验收的质量评定：合格。</w:t>
            </w:r>
          </w:p>
        </w:tc>
      </w:tr>
    </w:tbl>
    <w:p>
      <w:pPr>
        <w:pStyle w:val="85"/>
        <w:spacing w:line="440" w:lineRule="exact"/>
        <w:ind w:firstLine="562"/>
        <w:rPr>
          <w:rFonts w:ascii="仿宋" w:hAnsi="仿宋" w:eastAsia="仿宋" w:cs="仿宋"/>
          <w:b/>
          <w:bCs/>
          <w:color w:val="FF0000"/>
          <w:sz w:val="28"/>
          <w:szCs w:val="28"/>
          <w:highlight w:val="none"/>
          <w:lang w:eastAsia="zh-CN"/>
        </w:rPr>
      </w:pPr>
      <w:r>
        <w:rPr>
          <w:rFonts w:hint="eastAsia" w:ascii="仿宋" w:hAnsi="仿宋" w:eastAsia="仿宋" w:cs="仿宋"/>
          <w:b/>
          <w:bCs/>
          <w:color w:val="FF0000"/>
          <w:sz w:val="28"/>
          <w:szCs w:val="28"/>
          <w:highlight w:val="none"/>
          <w:lang w:eastAsia="zh-CN"/>
        </w:rPr>
        <w:t>三、针对本项目的其他服务要求：</w:t>
      </w:r>
    </w:p>
    <w:p>
      <w:pPr>
        <w:pStyle w:val="85"/>
        <w:spacing w:line="440" w:lineRule="exact"/>
        <w:ind w:firstLine="560"/>
        <w:rPr>
          <w:rFonts w:ascii="仿宋" w:hAnsi="仿宋" w:eastAsia="仿宋" w:cs="仿宋"/>
          <w:color w:val="FF0000"/>
          <w:sz w:val="28"/>
          <w:szCs w:val="28"/>
          <w:highlight w:val="none"/>
          <w:lang w:eastAsia="zh-CN"/>
        </w:rPr>
      </w:pPr>
      <w:r>
        <w:rPr>
          <w:rFonts w:hint="eastAsia" w:ascii="仿宋" w:hAnsi="仿宋" w:eastAsia="仿宋" w:cs="仿宋"/>
          <w:color w:val="FF0000"/>
          <w:sz w:val="28"/>
          <w:szCs w:val="28"/>
          <w:highlight w:val="none"/>
          <w:lang w:eastAsia="zh-CN"/>
        </w:rPr>
        <w:t>（一）变更部分：按照合同专用条款规定执行。</w:t>
      </w:r>
    </w:p>
    <w:p>
      <w:pPr>
        <w:pStyle w:val="85"/>
        <w:spacing w:line="440" w:lineRule="exact"/>
        <w:ind w:firstLine="560"/>
        <w:rPr>
          <w:rFonts w:ascii="仿宋" w:hAnsi="仿宋" w:eastAsia="仿宋" w:cs="仿宋"/>
          <w:color w:val="FF0000"/>
          <w:sz w:val="28"/>
          <w:szCs w:val="28"/>
          <w:highlight w:val="none"/>
          <w:lang w:eastAsia="zh-CN"/>
        </w:rPr>
      </w:pPr>
      <w:r>
        <w:rPr>
          <w:rFonts w:hint="eastAsia" w:ascii="仿宋" w:hAnsi="仿宋" w:eastAsia="仿宋" w:cs="仿宋"/>
          <w:color w:val="FF0000"/>
          <w:sz w:val="28"/>
          <w:szCs w:val="28"/>
          <w:highlight w:val="none"/>
          <w:lang w:eastAsia="zh-CN"/>
        </w:rPr>
        <w:t>（二）漏项工程：为完成本项目产生的清单漏项项目，按照合同专用条款规定执行。</w:t>
      </w:r>
    </w:p>
    <w:p>
      <w:pPr>
        <w:pStyle w:val="85"/>
        <w:spacing w:line="440" w:lineRule="exact"/>
        <w:ind w:firstLine="560"/>
        <w:rPr>
          <w:rFonts w:ascii="仿宋" w:hAnsi="仿宋" w:eastAsia="仿宋" w:cs="仿宋"/>
          <w:color w:val="FF0000"/>
          <w:sz w:val="28"/>
          <w:szCs w:val="28"/>
          <w:highlight w:val="none"/>
          <w:lang w:eastAsia="zh-CN"/>
        </w:rPr>
      </w:pPr>
      <w:r>
        <w:rPr>
          <w:rFonts w:hint="eastAsia" w:ascii="仿宋" w:hAnsi="仿宋" w:eastAsia="仿宋" w:cs="仿宋"/>
          <w:color w:val="FF0000"/>
          <w:sz w:val="28"/>
          <w:szCs w:val="28"/>
          <w:highlight w:val="none"/>
          <w:lang w:eastAsia="zh-CN"/>
        </w:rPr>
        <w:t>（三）本项目施工实施过程中，成交供应商须严格按照项目施工方案及规范施工并做好安全防护措施，在施工过程中，对施工范围周边区域原有设施设备采取适当措施进行保护，如因成交供应商原因造成施工场地周边原有设施设备损坏的，有责任无偿进行恢复。在施工过程中发生的所有安全事故和生产事故，劳动纠纷（含民工工资）均由成交单位承担。如遇上诉情况，采购人有权将未支付的工程款用于支付上诉事宜，成交供应商不得有异议。</w:t>
      </w:r>
    </w:p>
    <w:p>
      <w:pPr>
        <w:pStyle w:val="85"/>
        <w:spacing w:line="440" w:lineRule="exact"/>
        <w:ind w:firstLine="562"/>
        <w:rPr>
          <w:rFonts w:ascii="仿宋" w:hAnsi="仿宋" w:eastAsia="仿宋" w:cs="仿宋"/>
          <w:b/>
          <w:bCs/>
          <w:color w:val="FF0000"/>
          <w:sz w:val="28"/>
          <w:szCs w:val="28"/>
          <w:highlight w:val="none"/>
          <w:lang w:eastAsia="zh-CN"/>
        </w:rPr>
      </w:pPr>
      <w:bookmarkStart w:id="241" w:name="_Toc14679"/>
      <w:r>
        <w:rPr>
          <w:rFonts w:hint="eastAsia" w:ascii="仿宋" w:hAnsi="仿宋" w:eastAsia="仿宋" w:cs="仿宋"/>
          <w:b/>
          <w:bCs/>
          <w:color w:val="FF0000"/>
          <w:sz w:val="28"/>
          <w:szCs w:val="28"/>
          <w:highlight w:val="none"/>
          <w:lang w:eastAsia="zh-CN"/>
        </w:rPr>
        <w:t>四、其他商务要求</w:t>
      </w:r>
      <w:bookmarkEnd w:id="241"/>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FF0000"/>
          <w:sz w:val="28"/>
          <w:szCs w:val="28"/>
          <w:highlight w:val="none"/>
          <w:lang w:bidi="en-US"/>
        </w:rPr>
      </w:pPr>
      <w:r>
        <w:rPr>
          <w:rFonts w:hint="eastAsia" w:ascii="仿宋" w:hAnsi="仿宋" w:eastAsia="仿宋" w:cs="仿宋"/>
          <w:color w:val="FF0000"/>
          <w:sz w:val="28"/>
          <w:szCs w:val="28"/>
          <w:highlight w:val="none"/>
          <w:lang w:bidi="en-US"/>
        </w:rPr>
        <w:t>（一）合同签订时间:</w:t>
      </w:r>
      <w:r>
        <w:rPr>
          <w:rFonts w:hint="eastAsia" w:ascii="仿宋" w:hAnsi="仿宋" w:eastAsia="仿宋" w:cs="仿宋"/>
          <w:color w:val="FF0000"/>
          <w:sz w:val="28"/>
          <w:szCs w:val="28"/>
          <w:highlight w:val="none"/>
          <w:lang w:eastAsia="zh-CN" w:bidi="en-US"/>
        </w:rPr>
        <w:t>成交</w:t>
      </w:r>
      <w:r>
        <w:rPr>
          <w:rFonts w:hint="eastAsia" w:ascii="仿宋" w:hAnsi="仿宋" w:eastAsia="仿宋" w:cs="仿宋"/>
          <w:color w:val="FF0000"/>
          <w:sz w:val="28"/>
          <w:szCs w:val="28"/>
          <w:highlight w:val="none"/>
          <w:lang w:bidi="en-US"/>
        </w:rPr>
        <w:t>通知书发出后30日内签订采购合同。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FF0000"/>
          <w:sz w:val="28"/>
          <w:szCs w:val="28"/>
          <w:highlight w:val="none"/>
          <w:lang w:bidi="en-US"/>
        </w:rPr>
      </w:pPr>
      <w:r>
        <w:rPr>
          <w:rFonts w:hint="eastAsia" w:ascii="仿宋" w:hAnsi="仿宋" w:eastAsia="仿宋" w:cs="仿宋"/>
          <w:color w:val="FF0000"/>
          <w:sz w:val="28"/>
          <w:szCs w:val="28"/>
          <w:highlight w:val="none"/>
          <w:lang w:bidi="en-US"/>
        </w:rPr>
        <w:t>（二）服务期限：</w:t>
      </w:r>
      <w:r>
        <w:rPr>
          <w:rFonts w:hint="eastAsia" w:ascii="仿宋" w:hAnsi="仿宋" w:eastAsia="仿宋" w:cs="仿宋"/>
          <w:color w:val="FF0000"/>
          <w:sz w:val="28"/>
          <w:szCs w:val="28"/>
          <w:highlight w:val="none"/>
          <w:lang w:val="en-US" w:eastAsia="zh-CN" w:bidi="en-US"/>
        </w:rPr>
        <w:t>1个月</w:t>
      </w:r>
      <w:r>
        <w:rPr>
          <w:rFonts w:hint="eastAsia" w:ascii="仿宋" w:hAnsi="仿宋" w:eastAsia="仿宋" w:cs="仿宋"/>
          <w:color w:val="FF0000"/>
          <w:sz w:val="28"/>
          <w:szCs w:val="28"/>
          <w:highlight w:val="none"/>
          <w:lang w:bidi="en-US"/>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FF0000"/>
          <w:sz w:val="28"/>
          <w:szCs w:val="28"/>
          <w:highlight w:val="none"/>
          <w:lang w:bidi="en-US"/>
        </w:rPr>
      </w:pPr>
      <w:r>
        <w:rPr>
          <w:rFonts w:hint="eastAsia" w:ascii="仿宋" w:hAnsi="仿宋" w:eastAsia="仿宋" w:cs="仿宋"/>
          <w:color w:val="FF0000"/>
          <w:sz w:val="28"/>
          <w:szCs w:val="28"/>
          <w:highlight w:val="none"/>
          <w:lang w:bidi="en-US"/>
        </w:rPr>
        <w:t>（三）付款方式：待工程交工验收合格后拨付到已完计量工程的80%；待工程结算审计后拨付到该工程97%；另3%待质保期满后工程无质量缺陷一次性支付给</w:t>
      </w:r>
      <w:r>
        <w:rPr>
          <w:rFonts w:hint="eastAsia" w:ascii="仿宋" w:hAnsi="仿宋" w:eastAsia="仿宋" w:cs="仿宋"/>
          <w:color w:val="FF0000"/>
          <w:sz w:val="28"/>
          <w:szCs w:val="28"/>
          <w:highlight w:val="none"/>
          <w:lang w:val="en-US" w:eastAsia="zh-CN" w:bidi="en-US"/>
        </w:rPr>
        <w:t>成交供应商</w:t>
      </w:r>
      <w:r>
        <w:rPr>
          <w:rFonts w:hint="eastAsia" w:ascii="仿宋" w:hAnsi="仿宋" w:eastAsia="仿宋" w:cs="仿宋"/>
          <w:color w:val="FF0000"/>
          <w:sz w:val="28"/>
          <w:szCs w:val="28"/>
          <w:highlight w:val="none"/>
          <w:lang w:bidi="en-US"/>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FF0000"/>
          <w:sz w:val="28"/>
          <w:szCs w:val="28"/>
          <w:highlight w:val="none"/>
          <w:lang w:bidi="en-US"/>
        </w:rPr>
      </w:pPr>
      <w:r>
        <w:rPr>
          <w:rFonts w:hint="eastAsia" w:ascii="仿宋" w:hAnsi="仿宋" w:eastAsia="仿宋" w:cs="仿宋"/>
          <w:color w:val="FF0000"/>
          <w:sz w:val="28"/>
          <w:szCs w:val="28"/>
          <w:highlight w:val="none"/>
          <w:lang w:bidi="en-US"/>
        </w:rPr>
        <w:t>（四）验收标准:成交供应商应配合采购人依据国家及行业相关标准要求、本项目磋商文件、成交供应商响应文件及合同承诺进行验收。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FF0000"/>
          <w:sz w:val="28"/>
          <w:szCs w:val="28"/>
          <w:highlight w:val="none"/>
          <w:lang w:bidi="en-US"/>
        </w:rPr>
      </w:pPr>
      <w:r>
        <w:rPr>
          <w:rFonts w:hint="eastAsia" w:ascii="仿宋" w:hAnsi="仿宋" w:eastAsia="仿宋" w:cs="仿宋"/>
          <w:color w:val="FF0000"/>
          <w:sz w:val="28"/>
          <w:szCs w:val="28"/>
          <w:highlight w:val="none"/>
          <w:lang w:bidi="en-US"/>
        </w:rPr>
        <w:t>（五）安全责任：在整个项目实施及服务期间，所有安全责任均由成交供应商自行负责。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FF0000"/>
          <w:sz w:val="28"/>
          <w:szCs w:val="28"/>
          <w:highlight w:val="none"/>
          <w:lang w:bidi="en-US"/>
        </w:rPr>
      </w:pPr>
      <w:r>
        <w:rPr>
          <w:rFonts w:hint="eastAsia" w:ascii="仿宋" w:hAnsi="仿宋" w:eastAsia="仿宋" w:cs="仿宋"/>
          <w:color w:val="FF0000"/>
          <w:sz w:val="28"/>
          <w:szCs w:val="28"/>
          <w:highlight w:val="none"/>
          <w:lang w:bidi="en-US"/>
        </w:rPr>
        <w:t>（六）后续服务：在缺陷责任期内，承包人应尽快完成在交工验收证书中写明的未完成工作，并完成对本工程缺陷的修复或监理人指令的修补工作。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FF0000"/>
          <w:sz w:val="28"/>
          <w:szCs w:val="28"/>
          <w:highlight w:val="none"/>
          <w:lang w:bidi="en-US"/>
        </w:rPr>
      </w:pPr>
      <w:r>
        <w:rPr>
          <w:rFonts w:hint="eastAsia" w:ascii="仿宋" w:hAnsi="仿宋" w:eastAsia="仿宋" w:cs="仿宋"/>
          <w:color w:val="FF0000"/>
          <w:sz w:val="28"/>
          <w:szCs w:val="28"/>
          <w:highlight w:val="none"/>
          <w:lang w:bidi="en-US"/>
        </w:rPr>
        <w:t>（七）其他要求：</w:t>
      </w:r>
    </w:p>
    <w:p>
      <w:pPr>
        <w:pStyle w:val="85"/>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default"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bidi="en-US"/>
        </w:rPr>
        <w:t>其余未尽事宜详见第七章采购合同，采购人及成交供应商双方可以根据本采购项目的特点，在不违背竞争性磋商文件实质性要求、响应文件承诺的原则下，就具体条款进行修改和增减</w:t>
      </w:r>
      <w:r>
        <w:rPr>
          <w:rFonts w:hint="eastAsia" w:ascii="仿宋" w:hAnsi="仿宋" w:eastAsia="仿宋" w:cs="仿宋"/>
          <w:color w:val="FF0000"/>
          <w:sz w:val="28"/>
          <w:szCs w:val="28"/>
          <w:highlight w:val="none"/>
          <w:lang w:val="en-US" w:eastAsia="zh-CN"/>
        </w:rPr>
        <w:t>。</w:t>
      </w:r>
    </w:p>
    <w:p>
      <w:pPr>
        <w:widowControl/>
        <w:snapToGrid w:val="0"/>
        <w:ind w:firstLine="482" w:firstLineChars="200"/>
        <w:jc w:val="left"/>
        <w:textAlignment w:val="baseline"/>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kern w:val="0"/>
          <w:sz w:val="24"/>
          <w:highlight w:val="none"/>
        </w:rPr>
        <w:t>注</w:t>
      </w:r>
      <w:r>
        <w:rPr>
          <w:rFonts w:hint="eastAsia" w:ascii="仿宋_GB2312" w:hAnsi="仿宋_GB2312" w:eastAsia="仿宋_GB2312" w:cs="仿宋_GB2312"/>
          <w:bCs/>
          <w:color w:val="auto"/>
          <w:kern w:val="0"/>
          <w:sz w:val="24"/>
          <w:highlight w:val="none"/>
        </w:rPr>
        <w:t xml:space="preserve">：1.以上技术、商务要求为本次磋商采购活动体现满足采购需求、质量和服务相等的采购项目最低要求。 </w:t>
      </w:r>
    </w:p>
    <w:p>
      <w:pPr>
        <w:snapToGrid w:val="0"/>
        <w:ind w:firstLine="480" w:firstLineChars="200"/>
        <w:textAlignment w:val="baseline"/>
        <w:rPr>
          <w:rFonts w:ascii="仿宋_GB2312" w:hAnsi="仿宋_GB2312" w:eastAsia="仿宋_GB2312" w:cs="仿宋_GB2312"/>
          <w:bCs/>
          <w:color w:val="auto"/>
          <w:kern w:val="0"/>
          <w:sz w:val="24"/>
          <w:highlight w:val="none"/>
        </w:rPr>
        <w:sectPr>
          <w:pgSz w:w="11907" w:h="16839"/>
          <w:pgMar w:top="1440" w:right="1797" w:bottom="1440" w:left="1797" w:header="851" w:footer="850" w:gutter="0"/>
          <w:pgBorders>
            <w:top w:val="none" w:sz="0" w:space="0"/>
            <w:left w:val="none" w:sz="0" w:space="0"/>
            <w:bottom w:val="none" w:sz="0" w:space="0"/>
            <w:right w:val="none" w:sz="0" w:space="0"/>
          </w:pgBorders>
          <w:cols w:space="720" w:num="1"/>
          <w:docGrid w:linePitch="312" w:charSpace="0"/>
        </w:sectPr>
      </w:pPr>
      <w:r>
        <w:rPr>
          <w:rFonts w:hint="eastAsia" w:ascii="仿宋_GB2312" w:hAnsi="仿宋_GB2312" w:eastAsia="仿宋_GB2312" w:cs="仿宋_GB2312"/>
          <w:bCs/>
          <w:color w:val="auto"/>
          <w:kern w:val="0"/>
          <w:sz w:val="24"/>
          <w:highlight w:val="none"/>
        </w:rPr>
        <w:t>2.本章所包含的全部采购需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3"/>
        <w:jc w:val="center"/>
        <w:rPr>
          <w:rFonts w:hint="eastAsia" w:ascii="黑体" w:hAnsi="黑体" w:eastAsia="黑体" w:cs="黑体"/>
          <w:color w:val="auto"/>
          <w:sz w:val="36"/>
          <w:szCs w:val="36"/>
          <w:highlight w:val="none"/>
        </w:rPr>
      </w:pPr>
      <w:bookmarkStart w:id="242" w:name="_Toc17258"/>
      <w:bookmarkStart w:id="243" w:name="_Toc19090"/>
      <w:bookmarkStart w:id="244" w:name="_Toc12514"/>
      <w:bookmarkStart w:id="245" w:name="_Toc24454"/>
      <w:bookmarkStart w:id="246" w:name="_Toc8119"/>
      <w:bookmarkStart w:id="247" w:name="_Toc27203"/>
      <w:bookmarkStart w:id="248" w:name="_Toc30522"/>
      <w:bookmarkStart w:id="249" w:name="_Toc8475"/>
      <w:bookmarkStart w:id="250" w:name="_Toc12310"/>
      <w:bookmarkStart w:id="251" w:name="_Toc29624"/>
      <w:bookmarkStart w:id="252" w:name="_Toc18896"/>
      <w:bookmarkStart w:id="253" w:name="_Toc2522"/>
      <w:bookmarkStart w:id="254" w:name="_Toc4054"/>
      <w:bookmarkStart w:id="255" w:name="_Toc6962"/>
      <w:bookmarkStart w:id="256" w:name="_Toc23160"/>
      <w:bookmarkStart w:id="257" w:name="_Toc10702"/>
      <w:bookmarkStart w:id="258" w:name="_Toc42015221"/>
      <w:bookmarkStart w:id="259" w:name="_Toc42015020"/>
      <w:bookmarkStart w:id="260" w:name="_Toc6247"/>
      <w:bookmarkStart w:id="261" w:name="_Toc21661"/>
      <w:bookmarkStart w:id="262" w:name="_Toc42014955"/>
      <w:bookmarkStart w:id="263" w:name="_Toc10841"/>
      <w:r>
        <w:rPr>
          <w:rFonts w:hint="eastAsia" w:ascii="黑体" w:hAnsi="黑体" w:eastAsia="黑体" w:cs="黑体"/>
          <w:color w:val="auto"/>
          <w:sz w:val="36"/>
          <w:szCs w:val="36"/>
          <w:highlight w:val="none"/>
          <w:lang w:val="en-US" w:eastAsia="zh-CN"/>
        </w:rPr>
        <w:t>第四章  磋商内容、磋商过程中可实质性变动的内容</w:t>
      </w:r>
      <w:bookmarkEnd w:id="242"/>
      <w:bookmarkEnd w:id="243"/>
      <w:bookmarkEnd w:id="244"/>
      <w:bookmarkEnd w:id="245"/>
      <w:bookmarkEnd w:id="246"/>
      <w:bookmarkEnd w:id="247"/>
      <w:bookmarkEnd w:id="248"/>
      <w:bookmarkEnd w:id="249"/>
      <w:bookmarkEnd w:id="250"/>
      <w:bookmarkEnd w:id="251"/>
      <w:bookmarkEnd w:id="252"/>
    </w:p>
    <w:p>
      <w:pPr>
        <w:tabs>
          <w:tab w:val="left" w:pos="7665"/>
        </w:tabs>
        <w:spacing w:line="360" w:lineRule="auto"/>
        <w:ind w:firstLine="480"/>
        <w:rPr>
          <w:rFonts w:ascii="仿宋_GB2312" w:hAnsi="仿宋_GB2312" w:eastAsia="仿宋_GB2312" w:cs="仿宋_GB2312"/>
          <w:color w:val="auto"/>
          <w:sz w:val="28"/>
          <w:szCs w:val="28"/>
          <w:highlight w:val="none"/>
        </w:rPr>
      </w:pPr>
    </w:p>
    <w:p>
      <w:pPr>
        <w:tabs>
          <w:tab w:val="left" w:pos="7665"/>
        </w:tabs>
        <w:spacing w:line="360" w:lineRule="auto"/>
        <w:ind w:firstLine="480"/>
        <w:rPr>
          <w:rFonts w:ascii="宋体" w:hAnsi="宋体"/>
          <w:color w:val="auto"/>
          <w:sz w:val="24"/>
          <w:highlight w:val="none"/>
        </w:rPr>
      </w:pPr>
      <w:r>
        <w:rPr>
          <w:rFonts w:hint="eastAsia" w:ascii="仿宋_GB2312" w:hAnsi="仿宋_GB2312" w:eastAsia="仿宋_GB2312" w:cs="仿宋_GB2312"/>
          <w:color w:val="auto"/>
          <w:sz w:val="28"/>
          <w:szCs w:val="28"/>
          <w:highlight w:val="none"/>
        </w:rPr>
        <w:t>针对第三章、第七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bookmarkEnd w:id="253"/>
    <w:bookmarkEnd w:id="254"/>
    <w:bookmarkEnd w:id="255"/>
    <w:bookmarkEnd w:id="256"/>
    <w:bookmarkEnd w:id="257"/>
    <w:bookmarkEnd w:id="258"/>
    <w:bookmarkEnd w:id="259"/>
    <w:bookmarkEnd w:id="260"/>
    <w:bookmarkEnd w:id="261"/>
    <w:bookmarkEnd w:id="262"/>
    <w:bookmarkEnd w:id="263"/>
    <w:p>
      <w:pPr>
        <w:pStyle w:val="3"/>
        <w:jc w:val="center"/>
        <w:rPr>
          <w:color w:val="auto"/>
          <w:sz w:val="36"/>
          <w:szCs w:val="48"/>
          <w:highlight w:val="none"/>
        </w:rPr>
      </w:pPr>
      <w:bookmarkStart w:id="264" w:name="_Toc21920"/>
      <w:bookmarkStart w:id="265" w:name="_Toc751"/>
      <w:bookmarkStart w:id="266" w:name="_Toc3938"/>
      <w:bookmarkStart w:id="267" w:name="_Toc42014957"/>
      <w:bookmarkStart w:id="268" w:name="_Toc3519"/>
      <w:bookmarkStart w:id="269" w:name="_Toc31843"/>
      <w:bookmarkStart w:id="270" w:name="_Toc42015022"/>
      <w:bookmarkStart w:id="271" w:name="_Toc19542"/>
      <w:bookmarkStart w:id="272" w:name="_Toc7672"/>
      <w:bookmarkStart w:id="273" w:name="_Toc7099"/>
      <w:bookmarkStart w:id="274" w:name="_Toc42015223"/>
      <w:bookmarkStart w:id="275" w:name="_Toc15373"/>
      <w:bookmarkStart w:id="276" w:name="_Toc25115"/>
      <w:bookmarkStart w:id="277" w:name="_Toc36199918"/>
    </w:p>
    <w:p>
      <w:pPr>
        <w:rPr>
          <w:color w:val="auto"/>
          <w:sz w:val="36"/>
          <w:szCs w:val="48"/>
          <w:highlight w:val="none"/>
        </w:rPr>
      </w:pPr>
    </w:p>
    <w:p>
      <w:pPr>
        <w:pStyle w:val="2"/>
        <w:rPr>
          <w:color w:val="auto"/>
          <w:sz w:val="36"/>
          <w:szCs w:val="48"/>
          <w:highlight w:val="none"/>
        </w:rPr>
      </w:pPr>
    </w:p>
    <w:p>
      <w:pPr>
        <w:rPr>
          <w:color w:val="auto"/>
          <w:highlight w:val="none"/>
        </w:rPr>
      </w:pPr>
    </w:p>
    <w:p>
      <w:pPr>
        <w:rPr>
          <w:color w:val="auto"/>
          <w:sz w:val="36"/>
          <w:szCs w:val="48"/>
          <w:highlight w:val="none"/>
        </w:rPr>
      </w:pPr>
      <w:r>
        <w:rPr>
          <w:rFonts w:hint="eastAsia"/>
          <w:color w:val="auto"/>
          <w:sz w:val="36"/>
          <w:szCs w:val="48"/>
          <w:highlight w:val="none"/>
        </w:rPr>
        <w:br w:type="page"/>
      </w:r>
    </w:p>
    <w:p>
      <w:pPr>
        <w:pStyle w:val="3"/>
        <w:jc w:val="center"/>
        <w:rPr>
          <w:rFonts w:ascii="黑体" w:hAnsi="黑体" w:eastAsia="黑体" w:cs="黑体"/>
          <w:color w:val="auto"/>
          <w:sz w:val="36"/>
          <w:szCs w:val="36"/>
          <w:highlight w:val="none"/>
        </w:rPr>
      </w:pPr>
      <w:bookmarkStart w:id="278" w:name="_Toc11042"/>
      <w:bookmarkStart w:id="279" w:name="_Toc6306"/>
      <w:bookmarkStart w:id="280" w:name="_Toc26346"/>
      <w:bookmarkStart w:id="281" w:name="_Toc32401"/>
      <w:bookmarkStart w:id="282" w:name="_Toc11606"/>
      <w:bookmarkStart w:id="283" w:name="_Toc6260"/>
      <w:bookmarkStart w:id="284" w:name="_Toc9889"/>
      <w:bookmarkStart w:id="285" w:name="_Toc5769"/>
      <w:bookmarkStart w:id="286" w:name="_Toc15107"/>
      <w:bookmarkStart w:id="287" w:name="_Toc5716"/>
      <w:r>
        <w:rPr>
          <w:rFonts w:hint="eastAsia" w:ascii="黑体" w:hAnsi="黑体" w:eastAsia="黑体" w:cs="黑体"/>
          <w:color w:val="auto"/>
          <w:sz w:val="36"/>
          <w:szCs w:val="36"/>
          <w:highlight w:val="none"/>
        </w:rPr>
        <w:t>第五章  响应文件格式</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napToGrid w:val="0"/>
        <w:textAlignment w:val="baseline"/>
        <w:rPr>
          <w:rFonts w:ascii="仿宋_GB2312" w:hAnsi="仿宋_GB2312" w:eastAsia="仿宋_GB2312" w:cs="仿宋_GB2312"/>
          <w:color w:val="auto"/>
          <w:sz w:val="28"/>
          <w:szCs w:val="28"/>
          <w:highlight w:val="none"/>
        </w:rPr>
      </w:pPr>
    </w:p>
    <w:p>
      <w:pPr>
        <w:snapToGrid w:val="0"/>
        <w:spacing w:line="42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一、本章所制响应文件格式，除格式中明确将该格式作为实质性要求的，一律不具有强制性。</w:t>
      </w:r>
    </w:p>
    <w:p>
      <w:pPr>
        <w:snapToGrid w:val="0"/>
        <w:spacing w:line="420" w:lineRule="exact"/>
        <w:ind w:firstLine="560" w:firstLineChars="200"/>
        <w:jc w:val="left"/>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二、本章所制响应文件格式有关表格中的备注栏，由供应商根据自身响应情况作解释性说明，不作为必填项。</w:t>
      </w:r>
    </w:p>
    <w:p>
      <w:pPr>
        <w:snapToGrid w:val="0"/>
        <w:spacing w:line="42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三、本章所制响应文件格式中需要填写的相关内容事项，可能会与本采购项目无关，在不改变响应文件原义、不影响本项目采购需求的情况下，供应商可以不予填写，但应当注明。</w:t>
      </w:r>
    </w:p>
    <w:p>
      <w:pPr>
        <w:pStyle w:val="2"/>
        <w:snapToGrid w:val="0"/>
        <w:textAlignment w:val="baseline"/>
        <w:rPr>
          <w:rFonts w:ascii="仿宋_GB2312" w:hAnsi="仿宋_GB2312" w:eastAsia="仿宋_GB2312" w:cs="仿宋_GB2312"/>
          <w:color w:val="auto"/>
          <w:sz w:val="28"/>
          <w:szCs w:val="28"/>
          <w:highlight w:val="none"/>
        </w:rPr>
      </w:pPr>
    </w:p>
    <w:p>
      <w:pPr>
        <w:snapToGrid w:val="0"/>
        <w:textAlignment w:val="baseline"/>
        <w:rPr>
          <w:rFonts w:ascii="仿宋_GB2312" w:hAnsi="仿宋_GB2312" w:eastAsia="仿宋_GB2312" w:cs="仿宋_GB2312"/>
          <w:color w:val="auto"/>
          <w:sz w:val="28"/>
          <w:szCs w:val="28"/>
          <w:highlight w:val="none"/>
        </w:rPr>
      </w:pPr>
    </w:p>
    <w:p>
      <w:pPr>
        <w:snapToGrid w:val="0"/>
        <w:textAlignment w:val="baseline"/>
        <w:rPr>
          <w:rFonts w:ascii="仿宋_GB2312" w:hAnsi="仿宋_GB2312" w:eastAsia="仿宋_GB2312" w:cs="仿宋_GB2312"/>
          <w:color w:val="auto"/>
          <w:sz w:val="28"/>
          <w:szCs w:val="28"/>
          <w:highlight w:val="none"/>
        </w:rPr>
        <w:sectPr>
          <w:pgSz w:w="11907" w:h="16839"/>
          <w:pgMar w:top="1440" w:right="1800" w:bottom="1440" w:left="1800" w:header="851" w:footer="680" w:gutter="0"/>
          <w:pgBorders>
            <w:top w:val="none" w:sz="0" w:space="0"/>
            <w:left w:val="none" w:sz="0" w:space="0"/>
            <w:bottom w:val="none" w:sz="0" w:space="0"/>
            <w:right w:val="none" w:sz="0" w:space="0"/>
          </w:pgBorders>
          <w:pgNumType w:fmt="decimal"/>
          <w:cols w:space="720" w:num="1"/>
          <w:titlePg/>
          <w:docGrid w:type="linesAndChars" w:linePitch="312" w:charSpace="0"/>
        </w:sectPr>
      </w:pPr>
    </w:p>
    <w:p>
      <w:pPr>
        <w:spacing w:line="360" w:lineRule="auto"/>
        <w:jc w:val="right"/>
        <w:rPr>
          <w:rFonts w:ascii="宋体" w:hAnsi="宋体"/>
          <w:b/>
          <w:color w:val="auto"/>
          <w:sz w:val="36"/>
          <w:szCs w:val="36"/>
          <w:highlight w:val="none"/>
          <w:lang w:bidi="ar"/>
        </w:rPr>
      </w:pPr>
      <w:bookmarkStart w:id="288" w:name="_Toc444267813"/>
      <w:r>
        <w:rPr>
          <w:rFonts w:hint="eastAsia" w:ascii="宋体" w:hAnsi="宋体"/>
          <w:b/>
          <w:color w:val="auto"/>
          <w:sz w:val="36"/>
          <w:szCs w:val="36"/>
          <w:highlight w:val="none"/>
          <w:lang w:bidi="ar"/>
        </w:rPr>
        <w:t>（正本/副本）</w:t>
      </w:r>
    </w:p>
    <w:p>
      <w:pPr>
        <w:spacing w:line="360" w:lineRule="auto"/>
        <w:jc w:val="left"/>
        <w:rPr>
          <w:rFonts w:ascii="宋体" w:hAnsi="宋体"/>
          <w:b/>
          <w:bCs/>
          <w:color w:val="auto"/>
          <w:sz w:val="24"/>
          <w:highlight w:val="none"/>
        </w:rPr>
      </w:pPr>
    </w:p>
    <w:p>
      <w:pPr>
        <w:spacing w:line="360" w:lineRule="auto"/>
        <w:jc w:val="center"/>
        <w:rPr>
          <w:rFonts w:ascii="宋体" w:hAnsi="宋体"/>
          <w:b/>
          <w:color w:val="auto"/>
          <w:sz w:val="36"/>
          <w:szCs w:val="36"/>
          <w:highlight w:val="none"/>
          <w:u w:val="single"/>
        </w:rPr>
      </w:pPr>
      <w:r>
        <w:rPr>
          <w:rFonts w:ascii="宋体" w:hAnsi="宋体"/>
          <w:color w:val="auto"/>
          <w:highlight w:val="none"/>
        </w:rPr>
        <w:t xml:space="preserve">    </w:t>
      </w:r>
      <w:r>
        <w:rPr>
          <w:rFonts w:hint="eastAsia" w:ascii="宋体" w:hAnsi="宋体"/>
          <w:b/>
          <w:color w:val="auto"/>
          <w:sz w:val="30"/>
          <w:szCs w:val="30"/>
          <w:highlight w:val="none"/>
        </w:rPr>
        <w:t xml:space="preserve">                                  项目编号：</w:t>
      </w:r>
      <w:r>
        <w:rPr>
          <w:rFonts w:hint="eastAsia" w:ascii="宋体" w:hAnsi="宋体"/>
          <w:b/>
          <w:color w:val="auto"/>
          <w:sz w:val="30"/>
          <w:szCs w:val="30"/>
          <w:highlight w:val="none"/>
          <w:u w:val="single"/>
        </w:rPr>
        <w:t xml:space="preserve">           </w:t>
      </w:r>
    </w:p>
    <w:p>
      <w:pPr>
        <w:spacing w:line="360" w:lineRule="auto"/>
        <w:jc w:val="center"/>
        <w:rPr>
          <w:rFonts w:ascii="宋体" w:hAnsi="宋体"/>
          <w:b/>
          <w:color w:val="auto"/>
          <w:sz w:val="48"/>
          <w:szCs w:val="48"/>
          <w:highlight w:val="none"/>
        </w:rPr>
      </w:pPr>
      <w:r>
        <w:rPr>
          <w:rFonts w:hint="eastAsia" w:ascii="宋体" w:hAnsi="宋体"/>
          <w:b/>
          <w:color w:val="auto"/>
          <w:sz w:val="48"/>
          <w:szCs w:val="48"/>
          <w:highlight w:val="none"/>
          <w:u w:val="single"/>
        </w:rPr>
        <w:t>XXXXX（项目名称）</w:t>
      </w:r>
    </w:p>
    <w:p>
      <w:pPr>
        <w:spacing w:line="360" w:lineRule="auto"/>
        <w:rPr>
          <w:rFonts w:ascii="宋体" w:hAnsi="宋体"/>
          <w:b/>
          <w:color w:val="auto"/>
          <w:sz w:val="52"/>
          <w:szCs w:val="52"/>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napToGrid w:val="0"/>
        <w:spacing w:line="36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w:t>
      </w:r>
    </w:p>
    <w:p>
      <w:pPr>
        <w:snapToGrid w:val="0"/>
        <w:spacing w:line="36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应</w:t>
      </w:r>
    </w:p>
    <w:p>
      <w:pPr>
        <w:snapToGrid w:val="0"/>
        <w:spacing w:line="360" w:lineRule="auto"/>
        <w:jc w:val="center"/>
        <w:rPr>
          <w:rFonts w:ascii="宋体" w:hAnsi="宋体"/>
          <w:b/>
          <w:bCs/>
          <w:color w:val="auto"/>
          <w:sz w:val="72"/>
          <w:szCs w:val="72"/>
          <w:highlight w:val="none"/>
        </w:rPr>
      </w:pPr>
      <w:r>
        <w:rPr>
          <w:rFonts w:hint="eastAsia" w:ascii="宋体" w:hAnsi="宋体"/>
          <w:b/>
          <w:bCs/>
          <w:color w:val="auto"/>
          <w:sz w:val="72"/>
          <w:szCs w:val="72"/>
          <w:highlight w:val="none"/>
        </w:rPr>
        <w:t>文</w:t>
      </w:r>
    </w:p>
    <w:p>
      <w:pPr>
        <w:snapToGrid w:val="0"/>
        <w:spacing w:line="360" w:lineRule="auto"/>
        <w:jc w:val="center"/>
        <w:rPr>
          <w:rFonts w:ascii="宋体" w:hAnsi="宋体"/>
          <w:b/>
          <w:bCs/>
          <w:color w:val="auto"/>
          <w:sz w:val="44"/>
          <w:szCs w:val="44"/>
          <w:highlight w:val="none"/>
        </w:rPr>
      </w:pPr>
      <w:r>
        <w:rPr>
          <w:rFonts w:hint="eastAsia" w:ascii="宋体" w:hAnsi="宋体"/>
          <w:b/>
          <w:bCs/>
          <w:color w:val="auto"/>
          <w:sz w:val="72"/>
          <w:szCs w:val="72"/>
          <w:highlight w:val="none"/>
        </w:rPr>
        <w:t>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供应商名称：</w:t>
      </w:r>
    </w:p>
    <w:p>
      <w:pPr>
        <w:spacing w:line="360" w:lineRule="auto"/>
        <w:rPr>
          <w:rFonts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日  期：</w:t>
      </w:r>
    </w:p>
    <w:p>
      <w:pPr>
        <w:snapToGrid w:val="0"/>
        <w:jc w:val="center"/>
        <w:textAlignment w:val="baseline"/>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color w:val="auto"/>
          <w:sz w:val="28"/>
          <w:szCs w:val="28"/>
          <w:highlight w:val="none"/>
        </w:rPr>
        <w:br w:type="page"/>
      </w:r>
    </w:p>
    <w:bookmarkEnd w:id="288"/>
    <w:p>
      <w:pPr>
        <w:pStyle w:val="4"/>
        <w:spacing w:line="480" w:lineRule="exact"/>
        <w:jc w:val="center"/>
        <w:rPr>
          <w:rFonts w:ascii="楷体_GB2312" w:hAnsi="楷体_GB2312" w:eastAsia="楷体_GB2312" w:cs="楷体_GB2312"/>
          <w:color w:val="auto"/>
          <w:sz w:val="36"/>
          <w:szCs w:val="36"/>
          <w:highlight w:val="none"/>
        </w:rPr>
      </w:pPr>
      <w:bookmarkStart w:id="289" w:name="_Toc29542"/>
      <w:bookmarkStart w:id="290" w:name="_Toc11764033"/>
      <w:bookmarkStart w:id="291" w:name="_Toc15685"/>
      <w:bookmarkStart w:id="292" w:name="_Toc13564302"/>
      <w:bookmarkStart w:id="293" w:name="_Toc96761122"/>
      <w:bookmarkStart w:id="294" w:name="_Toc12195"/>
      <w:bookmarkStart w:id="295" w:name="_Toc31600"/>
      <w:bookmarkStart w:id="296" w:name="_Toc26956"/>
      <w:bookmarkStart w:id="297" w:name="_Toc11832144"/>
      <w:bookmarkStart w:id="298" w:name="_Toc94345768"/>
      <w:bookmarkStart w:id="299" w:name="_Toc96446261"/>
      <w:r>
        <w:rPr>
          <w:rFonts w:hint="eastAsia" w:ascii="楷体_GB2312" w:hAnsi="楷体_GB2312" w:eastAsia="楷体_GB2312" w:cs="楷体_GB2312"/>
          <w:color w:val="auto"/>
          <w:sz w:val="36"/>
          <w:szCs w:val="36"/>
          <w:highlight w:val="none"/>
        </w:rPr>
        <w:t>一、法定代表人身份证明</w:t>
      </w:r>
      <w:bookmarkEnd w:id="289"/>
      <w:bookmarkEnd w:id="290"/>
      <w:bookmarkEnd w:id="291"/>
      <w:bookmarkEnd w:id="292"/>
      <w:bookmarkEnd w:id="293"/>
      <w:bookmarkEnd w:id="294"/>
      <w:bookmarkEnd w:id="295"/>
      <w:bookmarkEnd w:id="296"/>
      <w:bookmarkEnd w:id="297"/>
      <w:bookmarkEnd w:id="298"/>
      <w:bookmarkEnd w:id="299"/>
    </w:p>
    <w:p>
      <w:pPr>
        <w:snapToGrid w:val="0"/>
        <w:spacing w:line="360" w:lineRule="auto"/>
        <w:jc w:val="center"/>
        <w:rPr>
          <w:rFonts w:ascii="宋体" w:hAnsi="宋体" w:cs="宋体"/>
          <w:color w:val="auto"/>
          <w:kern w:val="0"/>
          <w:szCs w:val="21"/>
          <w:highlight w:val="none"/>
        </w:rPr>
      </w:pPr>
    </w:p>
    <w:p>
      <w:pPr>
        <w:spacing w:line="48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pacing w:val="8"/>
          <w:sz w:val="28"/>
          <w:szCs w:val="28"/>
          <w:highlight w:val="none"/>
          <w:u w:val="single"/>
          <w:lang w:val="en-US" w:eastAsia="zh-CN"/>
        </w:rPr>
        <w:t xml:space="preserve">   </w:t>
      </w:r>
      <w:r>
        <w:rPr>
          <w:rFonts w:hint="eastAsia" w:ascii="仿宋_GB2312" w:hAnsi="仿宋_GB2312" w:eastAsia="仿宋_GB2312" w:cs="仿宋_GB2312"/>
          <w:bCs/>
          <w:color w:val="auto"/>
          <w:spacing w:val="8"/>
          <w:sz w:val="28"/>
          <w:szCs w:val="28"/>
          <w:highlight w:val="none"/>
          <w:u w:val="single"/>
        </w:rPr>
        <w:t>有限责任公司</w:t>
      </w:r>
      <w:r>
        <w:rPr>
          <w:rFonts w:hint="eastAsia" w:ascii="仿宋_GB2312" w:hAnsi="仿宋_GB2312" w:eastAsia="仿宋_GB2312" w:cs="仿宋_GB2312"/>
          <w:color w:val="auto"/>
          <w:sz w:val="28"/>
          <w:szCs w:val="28"/>
          <w:highlight w:val="none"/>
        </w:rPr>
        <w:t>：</w:t>
      </w:r>
    </w:p>
    <w:p>
      <w:pPr>
        <w:adjustRightInd w:val="0"/>
        <w:spacing w:line="480" w:lineRule="exact"/>
        <w:ind w:firstLine="592" w:firstLineChars="200"/>
        <w:rPr>
          <w:rFonts w:ascii="仿宋_GB2312" w:hAnsi="仿宋_GB2312" w:eastAsia="仿宋_GB2312" w:cs="仿宋_GB2312"/>
          <w:bCs/>
          <w:color w:val="auto"/>
          <w:spacing w:val="8"/>
          <w:sz w:val="28"/>
          <w:szCs w:val="28"/>
          <w:highlight w:val="none"/>
        </w:rPr>
      </w:pPr>
      <w:r>
        <w:rPr>
          <w:rFonts w:hint="eastAsia" w:ascii="仿宋_GB2312" w:hAnsi="仿宋_GB2312" w:eastAsia="仿宋_GB2312" w:cs="仿宋_GB2312"/>
          <w:bCs/>
          <w:color w:val="auto"/>
          <w:spacing w:val="8"/>
          <w:sz w:val="28"/>
          <w:szCs w:val="28"/>
          <w:highlight w:val="none"/>
        </w:rPr>
        <w:t>兹声明：</w:t>
      </w:r>
      <w:r>
        <w:rPr>
          <w:rFonts w:hint="eastAsia" w:ascii="仿宋_GB2312" w:hAnsi="仿宋_GB2312" w:eastAsia="仿宋_GB2312" w:cs="仿宋_GB2312"/>
          <w:bCs/>
          <w:color w:val="auto"/>
          <w:spacing w:val="8"/>
          <w:sz w:val="28"/>
          <w:szCs w:val="28"/>
          <w:highlight w:val="none"/>
          <w:u w:val="single"/>
        </w:rPr>
        <w:t xml:space="preserve">  （姓名） </w:t>
      </w:r>
      <w:r>
        <w:rPr>
          <w:rFonts w:hint="eastAsia" w:ascii="仿宋_GB2312" w:hAnsi="仿宋_GB2312" w:eastAsia="仿宋_GB2312" w:cs="仿宋_GB2312"/>
          <w:bCs/>
          <w:color w:val="auto"/>
          <w:spacing w:val="8"/>
          <w:sz w:val="28"/>
          <w:szCs w:val="28"/>
          <w:highlight w:val="none"/>
        </w:rPr>
        <w:t>系</w:t>
      </w:r>
      <w:r>
        <w:rPr>
          <w:rFonts w:hint="eastAsia" w:ascii="仿宋_GB2312" w:hAnsi="仿宋_GB2312" w:eastAsia="仿宋_GB2312" w:cs="仿宋_GB2312"/>
          <w:bCs/>
          <w:color w:val="auto"/>
          <w:spacing w:val="8"/>
          <w:sz w:val="28"/>
          <w:szCs w:val="28"/>
          <w:highlight w:val="none"/>
          <w:u w:val="single"/>
        </w:rPr>
        <w:t xml:space="preserve">    （供应商名称）   </w:t>
      </w:r>
      <w:r>
        <w:rPr>
          <w:rFonts w:hint="eastAsia" w:ascii="仿宋_GB2312" w:hAnsi="仿宋_GB2312" w:eastAsia="仿宋_GB2312" w:cs="仿宋_GB2312"/>
          <w:bCs/>
          <w:color w:val="auto"/>
          <w:spacing w:val="8"/>
          <w:sz w:val="28"/>
          <w:szCs w:val="28"/>
          <w:highlight w:val="none"/>
        </w:rPr>
        <w:t>的法定代表人（职务</w:t>
      </w:r>
      <w:r>
        <w:rPr>
          <w:rFonts w:hint="eastAsia" w:ascii="仿宋_GB2312" w:hAnsi="仿宋_GB2312" w:eastAsia="仿宋_GB2312" w:cs="仿宋_GB2312"/>
          <w:bCs/>
          <w:color w:val="auto"/>
          <w:spacing w:val="8"/>
          <w:sz w:val="28"/>
          <w:szCs w:val="28"/>
          <w:highlight w:val="none"/>
          <w:u w:val="single"/>
        </w:rPr>
        <w:t xml:space="preserve">      </w:t>
      </w:r>
      <w:r>
        <w:rPr>
          <w:rFonts w:hint="eastAsia" w:ascii="仿宋_GB2312" w:hAnsi="仿宋_GB2312" w:eastAsia="仿宋_GB2312" w:cs="仿宋_GB2312"/>
          <w:bCs/>
          <w:color w:val="auto"/>
          <w:spacing w:val="8"/>
          <w:sz w:val="28"/>
          <w:szCs w:val="28"/>
          <w:highlight w:val="none"/>
        </w:rPr>
        <w:t>），为我方“</w:t>
      </w:r>
      <w:r>
        <w:rPr>
          <w:rFonts w:hint="eastAsia" w:ascii="仿宋_GB2312" w:hAnsi="仿宋_GB2312" w:eastAsia="仿宋_GB2312" w:cs="仿宋_GB2312"/>
          <w:bCs/>
          <w:color w:val="auto"/>
          <w:spacing w:val="8"/>
          <w:sz w:val="28"/>
          <w:szCs w:val="28"/>
          <w:highlight w:val="none"/>
          <w:u w:val="single"/>
        </w:rPr>
        <w:t xml:space="preserve">      采购项目名称    </w:t>
      </w:r>
      <w:r>
        <w:rPr>
          <w:rFonts w:hint="eastAsia" w:ascii="仿宋_GB2312" w:hAnsi="仿宋_GB2312" w:eastAsia="仿宋_GB2312" w:cs="仿宋_GB2312"/>
          <w:bCs/>
          <w:color w:val="auto"/>
          <w:spacing w:val="8"/>
          <w:sz w:val="28"/>
          <w:szCs w:val="28"/>
          <w:highlight w:val="none"/>
        </w:rPr>
        <w:t>”项目（</w:t>
      </w:r>
      <w:r>
        <w:rPr>
          <w:rFonts w:hint="eastAsia" w:ascii="仿宋_GB2312" w:hAnsi="仿宋_GB2312" w:eastAsia="仿宋_GB2312" w:cs="仿宋_GB2312"/>
          <w:bCs/>
          <w:color w:val="auto"/>
          <w:spacing w:val="8"/>
          <w:sz w:val="28"/>
          <w:szCs w:val="28"/>
          <w:highlight w:val="none"/>
          <w:u w:val="single"/>
        </w:rPr>
        <w:t xml:space="preserve">     项目编号    </w:t>
      </w:r>
      <w:r>
        <w:rPr>
          <w:rFonts w:hint="eastAsia" w:ascii="仿宋_GB2312" w:hAnsi="仿宋_GB2312" w:eastAsia="仿宋_GB2312" w:cs="仿宋_GB2312"/>
          <w:bCs/>
          <w:color w:val="auto"/>
          <w:spacing w:val="8"/>
          <w:sz w:val="28"/>
          <w:szCs w:val="28"/>
          <w:highlight w:val="none"/>
        </w:rPr>
        <w:t>）磋商活动的合法代表，以我方名义全权处理该项目有关磋商、报价、签订合同以及执行合同等一切事宜。</w:t>
      </w:r>
    </w:p>
    <w:p>
      <w:pPr>
        <w:adjustRightInd w:val="0"/>
        <w:spacing w:line="480" w:lineRule="exact"/>
        <w:ind w:firstLine="592" w:firstLineChars="200"/>
        <w:rPr>
          <w:rFonts w:ascii="仿宋_GB2312" w:hAnsi="仿宋_GB2312" w:eastAsia="仿宋_GB2312" w:cs="仿宋_GB2312"/>
          <w:bCs/>
          <w:color w:val="auto"/>
          <w:spacing w:val="8"/>
          <w:sz w:val="28"/>
          <w:szCs w:val="28"/>
          <w:highlight w:val="none"/>
        </w:rPr>
      </w:pPr>
      <w:r>
        <w:rPr>
          <w:rFonts w:hint="eastAsia" w:ascii="仿宋_GB2312" w:hAnsi="仿宋_GB2312" w:eastAsia="仿宋_GB2312" w:cs="仿宋_GB2312"/>
          <w:bCs/>
          <w:color w:val="auto"/>
          <w:spacing w:val="8"/>
          <w:sz w:val="28"/>
          <w:szCs w:val="28"/>
          <w:highlight w:val="none"/>
        </w:rPr>
        <w:t>特此声明。</w:t>
      </w:r>
    </w:p>
    <w:p>
      <w:pPr>
        <w:snapToGrid w:val="0"/>
        <w:spacing w:line="480" w:lineRule="exact"/>
        <w:ind w:firstLine="560" w:firstLineChars="200"/>
        <w:rPr>
          <w:rFonts w:ascii="仿宋_GB2312" w:hAnsi="仿宋_GB2312" w:eastAsia="仿宋_GB2312" w:cs="仿宋_GB2312"/>
          <w:color w:val="auto"/>
          <w:sz w:val="28"/>
          <w:szCs w:val="28"/>
          <w:highlight w:val="none"/>
        </w:rPr>
      </w:pPr>
    </w:p>
    <w:p>
      <w:pPr>
        <w:snapToGrid w:val="0"/>
        <w:spacing w:line="48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附：法定代表人身份证复印件</w:t>
      </w:r>
    </w:p>
    <w:p>
      <w:pPr>
        <w:snapToGrid w:val="0"/>
        <w:spacing w:line="480" w:lineRule="exact"/>
        <w:ind w:firstLine="560" w:firstLineChars="200"/>
        <w:rPr>
          <w:rFonts w:ascii="仿宋_GB2312" w:hAnsi="仿宋_GB2312" w:eastAsia="仿宋_GB2312" w:cs="仿宋_GB2312"/>
          <w:color w:val="auto"/>
          <w:sz w:val="28"/>
          <w:szCs w:val="28"/>
          <w:highlight w:val="none"/>
        </w:rPr>
      </w:pPr>
    </w:p>
    <w:p>
      <w:pPr>
        <w:snapToGri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bCs/>
          <w:color w:val="auto"/>
          <w:spacing w:val="8"/>
          <w:sz w:val="28"/>
          <w:szCs w:val="28"/>
          <w:highlight w:val="none"/>
        </w:rPr>
        <w:t>（签字或盖法定代表人章）</w:t>
      </w:r>
      <w:r>
        <w:rPr>
          <w:rFonts w:hint="eastAsia" w:ascii="仿宋_GB2312" w:hAnsi="仿宋_GB2312" w:eastAsia="仿宋_GB2312" w:cs="仿宋_GB2312"/>
          <w:color w:val="auto"/>
          <w:sz w:val="28"/>
          <w:szCs w:val="28"/>
          <w:highlight w:val="none"/>
        </w:rPr>
        <w:t>：</w:t>
      </w:r>
    </w:p>
    <w:p>
      <w:pPr>
        <w:snapToGri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供应商名称：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（盖单位公章）</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年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月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adjustRightInd w:val="0"/>
        <w:snapToGrid w:val="0"/>
        <w:spacing w:line="480" w:lineRule="exact"/>
        <w:ind w:firstLine="570" w:firstLineChars="200"/>
        <w:rPr>
          <w:rFonts w:ascii="仿宋_GB2312" w:hAnsi="仿宋_GB2312" w:eastAsia="仿宋_GB2312" w:cs="仿宋_GB2312"/>
          <w:b/>
          <w:color w:val="auto"/>
          <w:spacing w:val="2"/>
          <w:kern w:val="0"/>
          <w:sz w:val="28"/>
          <w:szCs w:val="28"/>
          <w:highlight w:val="none"/>
        </w:rPr>
      </w:pPr>
    </w:p>
    <w:p>
      <w:pPr>
        <w:adjustRightInd w:val="0"/>
        <w:snapToGrid w:val="0"/>
        <w:spacing w:line="480" w:lineRule="exact"/>
        <w:ind w:firstLine="570" w:firstLineChars="200"/>
        <w:rPr>
          <w:rFonts w:ascii="仿宋_GB2312" w:hAnsi="仿宋_GB2312" w:eastAsia="仿宋_GB2312" w:cs="仿宋_GB2312"/>
          <w:b/>
          <w:color w:val="auto"/>
          <w:spacing w:val="2"/>
          <w:kern w:val="0"/>
          <w:sz w:val="28"/>
          <w:szCs w:val="28"/>
          <w:highlight w:val="none"/>
        </w:rPr>
      </w:pPr>
    </w:p>
    <w:p>
      <w:pPr>
        <w:adjustRightInd w:val="0"/>
        <w:snapToGrid w:val="0"/>
        <w:spacing w:line="400" w:lineRule="exact"/>
        <w:ind w:firstLine="490" w:firstLineChars="200"/>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pacing w:val="2"/>
          <w:kern w:val="0"/>
          <w:sz w:val="24"/>
          <w:highlight w:val="none"/>
        </w:rPr>
        <w:t>注：1、法定</w:t>
      </w:r>
      <w:r>
        <w:rPr>
          <w:rFonts w:hint="eastAsia" w:ascii="仿宋_GB2312" w:hAnsi="仿宋_GB2312" w:eastAsia="仿宋_GB2312" w:cs="仿宋_GB2312"/>
          <w:b/>
          <w:color w:val="auto"/>
          <w:kern w:val="0"/>
          <w:sz w:val="24"/>
          <w:highlight w:val="none"/>
        </w:rPr>
        <w:t>代</w:t>
      </w:r>
      <w:r>
        <w:rPr>
          <w:rFonts w:hint="eastAsia" w:ascii="仿宋_GB2312" w:hAnsi="仿宋_GB2312" w:eastAsia="仿宋_GB2312" w:cs="仿宋_GB2312"/>
          <w:b/>
          <w:color w:val="auto"/>
          <w:spacing w:val="2"/>
          <w:kern w:val="0"/>
          <w:sz w:val="24"/>
          <w:highlight w:val="none"/>
        </w:rPr>
        <w:t>表</w:t>
      </w:r>
      <w:r>
        <w:rPr>
          <w:rFonts w:hint="eastAsia" w:ascii="仿宋_GB2312" w:hAnsi="仿宋_GB2312" w:eastAsia="仿宋_GB2312" w:cs="仿宋_GB2312"/>
          <w:b/>
          <w:color w:val="auto"/>
          <w:kern w:val="0"/>
          <w:sz w:val="24"/>
          <w:highlight w:val="none"/>
        </w:rPr>
        <w:t>人</w:t>
      </w:r>
      <w:r>
        <w:rPr>
          <w:rFonts w:hint="eastAsia" w:ascii="仿宋_GB2312" w:hAnsi="仿宋_GB2312" w:eastAsia="仿宋_GB2312" w:cs="仿宋_GB2312"/>
          <w:b/>
          <w:color w:val="auto"/>
          <w:spacing w:val="2"/>
          <w:kern w:val="0"/>
          <w:sz w:val="24"/>
          <w:highlight w:val="none"/>
        </w:rPr>
        <w:t>亲</w:t>
      </w:r>
      <w:r>
        <w:rPr>
          <w:rFonts w:hint="eastAsia" w:ascii="仿宋_GB2312" w:hAnsi="仿宋_GB2312" w:eastAsia="仿宋_GB2312" w:cs="仿宋_GB2312"/>
          <w:b/>
          <w:color w:val="auto"/>
          <w:kern w:val="0"/>
          <w:sz w:val="24"/>
          <w:highlight w:val="none"/>
        </w:rPr>
        <w:t>自</w:t>
      </w:r>
      <w:r>
        <w:rPr>
          <w:rFonts w:hint="eastAsia" w:ascii="仿宋_GB2312" w:hAnsi="仿宋_GB2312" w:eastAsia="仿宋_GB2312" w:cs="仿宋_GB2312"/>
          <w:b/>
          <w:color w:val="auto"/>
          <w:spacing w:val="2"/>
          <w:kern w:val="0"/>
          <w:sz w:val="24"/>
          <w:highlight w:val="none"/>
        </w:rPr>
        <w:t>参</w:t>
      </w:r>
      <w:r>
        <w:rPr>
          <w:rFonts w:hint="eastAsia" w:ascii="仿宋_GB2312" w:hAnsi="仿宋_GB2312" w:eastAsia="仿宋_GB2312" w:cs="仿宋_GB2312"/>
          <w:b/>
          <w:color w:val="auto"/>
          <w:kern w:val="0"/>
          <w:sz w:val="24"/>
          <w:highlight w:val="none"/>
        </w:rPr>
        <w:t>加响应时适</w:t>
      </w:r>
      <w:r>
        <w:rPr>
          <w:rFonts w:hint="eastAsia" w:ascii="仿宋_GB2312" w:hAnsi="仿宋_GB2312" w:eastAsia="仿宋_GB2312" w:cs="仿宋_GB2312"/>
          <w:b/>
          <w:color w:val="auto"/>
          <w:spacing w:val="2"/>
          <w:kern w:val="0"/>
          <w:sz w:val="24"/>
          <w:highlight w:val="none"/>
        </w:rPr>
        <w:t>用</w:t>
      </w:r>
      <w:r>
        <w:rPr>
          <w:rFonts w:hint="eastAsia" w:ascii="仿宋_GB2312" w:hAnsi="仿宋_GB2312" w:eastAsia="仿宋_GB2312" w:cs="仿宋_GB2312"/>
          <w:b/>
          <w:color w:val="auto"/>
          <w:kern w:val="0"/>
          <w:sz w:val="24"/>
          <w:highlight w:val="none"/>
        </w:rPr>
        <w:t>。</w:t>
      </w:r>
    </w:p>
    <w:p>
      <w:pPr>
        <w:adjustRightInd w:val="0"/>
        <w:snapToGrid w:val="0"/>
        <w:spacing w:line="400" w:lineRule="exact"/>
        <w:ind w:firstLine="490" w:firstLineChars="200"/>
        <w:rPr>
          <w:rFonts w:ascii="宋体" w:hAnsi="宋体" w:cs="Adobe ?? Std R"/>
          <w:b/>
          <w:color w:val="auto"/>
          <w:spacing w:val="2"/>
          <w:kern w:val="0"/>
          <w:sz w:val="24"/>
          <w:szCs w:val="20"/>
          <w:highlight w:val="none"/>
        </w:rPr>
      </w:pPr>
      <w:r>
        <w:rPr>
          <w:rFonts w:hint="eastAsia" w:ascii="仿宋_GB2312" w:hAnsi="仿宋_GB2312" w:eastAsia="仿宋_GB2312" w:cs="仿宋_GB2312"/>
          <w:b/>
          <w:color w:val="auto"/>
          <w:spacing w:val="2"/>
          <w:kern w:val="0"/>
          <w:sz w:val="24"/>
          <w:highlight w:val="none"/>
        </w:rPr>
        <w:t xml:space="preserve">    2、法定代表人亲自参加响应时响应文件中不需要提供《法定代表人授权书》。</w:t>
      </w:r>
    </w:p>
    <w:p>
      <w:pPr>
        <w:pStyle w:val="25"/>
        <w:spacing w:line="360" w:lineRule="auto"/>
        <w:jc w:val="center"/>
        <w:rPr>
          <w:rFonts w:ascii="宋体" w:hAnsi="宋体"/>
          <w:b/>
          <w:color w:val="auto"/>
          <w:sz w:val="44"/>
          <w:highlight w:val="none"/>
        </w:rPr>
      </w:pPr>
      <w:r>
        <w:rPr>
          <w:rFonts w:ascii="宋体" w:hAnsi="宋体"/>
          <w:color w:val="auto"/>
          <w:highlight w:val="none"/>
        </w:rPr>
        <w:br w:type="page"/>
      </w:r>
      <w:bookmarkStart w:id="300" w:name="_Toc16030"/>
      <w:bookmarkStart w:id="301" w:name="_Toc96761123"/>
      <w:r>
        <w:rPr>
          <w:rFonts w:hint="eastAsia" w:ascii="楷体_GB2312" w:hAnsi="楷体_GB2312" w:eastAsia="楷体_GB2312" w:cs="楷体_GB2312"/>
          <w:b/>
          <w:bCs/>
          <w:i w:val="0"/>
          <w:iCs w:val="0"/>
          <w:color w:val="auto"/>
          <w:spacing w:val="0"/>
          <w:sz w:val="36"/>
          <w:szCs w:val="36"/>
          <w:highlight w:val="none"/>
        </w:rPr>
        <w:t>二、法定代表人授权书</w:t>
      </w:r>
      <w:bookmarkEnd w:id="300"/>
      <w:bookmarkEnd w:id="301"/>
    </w:p>
    <w:p>
      <w:pPr>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pacing w:val="8"/>
          <w:sz w:val="28"/>
          <w:szCs w:val="28"/>
          <w:highlight w:val="none"/>
          <w:u w:val="single"/>
          <w:lang w:val="en-US" w:eastAsia="zh-CN"/>
        </w:rPr>
        <w:t xml:space="preserve">   </w:t>
      </w:r>
      <w:r>
        <w:rPr>
          <w:rFonts w:hint="eastAsia" w:ascii="仿宋_GB2312" w:hAnsi="仿宋_GB2312" w:eastAsia="仿宋_GB2312" w:cs="仿宋_GB2312"/>
          <w:bCs/>
          <w:color w:val="auto"/>
          <w:spacing w:val="8"/>
          <w:sz w:val="28"/>
          <w:szCs w:val="28"/>
          <w:highlight w:val="none"/>
          <w:u w:val="single"/>
        </w:rPr>
        <w:t>有限责任公司</w:t>
      </w:r>
      <w:r>
        <w:rPr>
          <w:rFonts w:hint="eastAsia" w:ascii="仿宋_GB2312" w:hAnsi="仿宋_GB2312" w:eastAsia="仿宋_GB2312" w:cs="仿宋_GB2312"/>
          <w:color w:val="auto"/>
          <w:sz w:val="28"/>
          <w:szCs w:val="28"/>
          <w:highlight w:val="none"/>
        </w:rPr>
        <w:t>：</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本授权声明：</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（单位名称）,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（法定代表人姓名、职务）授权</w:t>
      </w:r>
      <w:r>
        <w:rPr>
          <w:rFonts w:hint="eastAsia" w:ascii="仿宋_GB2312" w:hAnsi="仿宋_GB2312" w:eastAsia="仿宋_GB2312" w:cs="仿宋_GB2312"/>
          <w:color w:val="auto"/>
          <w:sz w:val="28"/>
          <w:szCs w:val="28"/>
          <w:highlight w:val="none"/>
          <w:u w:val="single"/>
        </w:rPr>
        <w:t xml:space="preserve">     XXX         </w:t>
      </w:r>
      <w:r>
        <w:rPr>
          <w:rFonts w:hint="eastAsia" w:ascii="仿宋_GB2312" w:hAnsi="仿宋_GB2312" w:eastAsia="仿宋_GB2312" w:cs="仿宋_GB2312"/>
          <w:color w:val="auto"/>
          <w:sz w:val="28"/>
          <w:szCs w:val="28"/>
          <w:highlight w:val="none"/>
        </w:rPr>
        <w:t>（被授权人姓名、职务）为我方参加XXX项目（项目编号：</w:t>
      </w:r>
      <w:r>
        <w:rPr>
          <w:rFonts w:hint="eastAsia" w:ascii="仿宋_GB2312" w:hAnsi="仿宋_GB2312" w:eastAsia="仿宋_GB2312" w:cs="仿宋_GB2312"/>
          <w:color w:val="auto"/>
          <w:sz w:val="28"/>
          <w:szCs w:val="28"/>
          <w:highlight w:val="none"/>
          <w:u w:val="single"/>
        </w:rPr>
        <w:t>XXX</w:t>
      </w:r>
      <w:r>
        <w:rPr>
          <w:rFonts w:hint="eastAsia" w:ascii="仿宋_GB2312" w:hAnsi="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）磋商采购活动的合法代表，以我方名义全权处理该项目有关磋商、报价、签订合同以及执行合同等一切事宜。</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pPr>
        <w:spacing w:line="480" w:lineRule="exact"/>
        <w:ind w:firstLine="560" w:firstLineChars="200"/>
        <w:rPr>
          <w:rFonts w:ascii="仿宋_GB2312" w:hAnsi="仿宋_GB2312" w:eastAsia="仿宋_GB2312" w:cs="仿宋_GB2312"/>
          <w:color w:val="auto"/>
          <w:sz w:val="28"/>
          <w:szCs w:val="28"/>
          <w:highlight w:val="none"/>
        </w:rPr>
      </w:pPr>
    </w:p>
    <w:p>
      <w:pPr>
        <w:spacing w:line="480" w:lineRule="exact"/>
        <w:ind w:firstLine="560" w:firstLineChars="200"/>
        <w:rPr>
          <w:rFonts w:ascii="仿宋_GB2312" w:hAnsi="仿宋_GB2312" w:eastAsia="仿宋_GB2312" w:cs="仿宋_GB2312"/>
          <w:color w:val="auto"/>
          <w:sz w:val="28"/>
          <w:szCs w:val="28"/>
          <w:highlight w:val="none"/>
        </w:rPr>
      </w:pP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（盖单位公章）</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法定代表人（签字或盖章）：</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被授权人签字：</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    务：</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联系邮箱：</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期：XXX年XXX月XXX日</w:t>
      </w:r>
    </w:p>
    <w:p>
      <w:pPr>
        <w:pStyle w:val="2"/>
        <w:spacing w:line="240" w:lineRule="auto"/>
        <w:rPr>
          <w:rFonts w:ascii="仿宋_GB2312" w:hAnsi="仿宋_GB2312" w:eastAsia="仿宋_GB2312" w:cs="仿宋_GB2312"/>
          <w:color w:val="auto"/>
          <w:sz w:val="28"/>
          <w:szCs w:val="28"/>
          <w:highlight w:val="none"/>
        </w:rPr>
      </w:pPr>
    </w:p>
    <w:p>
      <w:pPr>
        <w:rPr>
          <w:rFonts w:ascii="Times New Roman" w:hAnsi="Times New Roman"/>
          <w:color w:val="auto"/>
          <w:highlight w:val="none"/>
        </w:rPr>
      </w:pPr>
    </w:p>
    <w:p>
      <w:pPr>
        <w:adjustRightInd w:val="0"/>
        <w:snapToGrid w:val="0"/>
        <w:spacing w:line="360" w:lineRule="auto"/>
        <w:ind w:firstLine="482" w:firstLineChars="200"/>
        <w:rPr>
          <w:rFonts w:ascii="仿宋" w:hAnsi="仿宋" w:eastAsia="仿宋"/>
          <w:color w:val="auto"/>
          <w:kern w:val="0"/>
          <w:sz w:val="24"/>
          <w:highlight w:val="none"/>
        </w:rPr>
      </w:pPr>
      <w:r>
        <w:rPr>
          <w:rFonts w:ascii="仿宋" w:hAnsi="仿宋" w:eastAsia="仿宋"/>
          <w:b/>
          <w:bCs/>
          <w:color w:val="auto"/>
          <w:kern w:val="0"/>
          <w:sz w:val="24"/>
          <w:highlight w:val="none"/>
        </w:rPr>
        <w:t>注</w:t>
      </w:r>
      <w:r>
        <w:rPr>
          <w:rFonts w:ascii="仿宋" w:hAnsi="仿宋" w:eastAsia="仿宋"/>
          <w:b/>
          <w:bCs/>
          <w:color w:val="auto"/>
          <w:spacing w:val="2"/>
          <w:kern w:val="0"/>
          <w:sz w:val="24"/>
          <w:highlight w:val="none"/>
        </w:rPr>
        <w:t>：</w:t>
      </w:r>
      <w:r>
        <w:rPr>
          <w:rFonts w:eastAsia="仿宋"/>
          <w:bCs/>
          <w:color w:val="auto"/>
          <w:kern w:val="0"/>
          <w:sz w:val="24"/>
          <w:highlight w:val="none"/>
        </w:rPr>
        <w:t>1.</w:t>
      </w:r>
      <w:r>
        <w:rPr>
          <w:rFonts w:ascii="仿宋" w:hAnsi="仿宋" w:eastAsia="仿宋"/>
          <w:color w:val="auto"/>
          <w:kern w:val="0"/>
          <w:sz w:val="24"/>
          <w:highlight w:val="none"/>
        </w:rPr>
        <w:t>授权代表参加响应时，响应文件中</w:t>
      </w:r>
      <w:r>
        <w:rPr>
          <w:rFonts w:hint="eastAsia" w:ascii="仿宋" w:hAnsi="仿宋" w:eastAsia="仿宋"/>
          <w:color w:val="auto"/>
          <w:kern w:val="0"/>
          <w:sz w:val="24"/>
          <w:highlight w:val="none"/>
        </w:rPr>
        <w:t>无须</w:t>
      </w:r>
      <w:r>
        <w:rPr>
          <w:rFonts w:ascii="仿宋" w:hAnsi="仿宋" w:eastAsia="仿宋"/>
          <w:color w:val="auto"/>
          <w:kern w:val="0"/>
          <w:sz w:val="24"/>
          <w:highlight w:val="none"/>
        </w:rPr>
        <w:t>提供《法定代表人证明书》</w:t>
      </w:r>
      <w:r>
        <w:rPr>
          <w:rFonts w:hint="eastAsia" w:ascii="仿宋" w:hAnsi="仿宋" w:eastAsia="仿宋"/>
          <w:bCs/>
          <w:color w:val="auto"/>
          <w:kern w:val="0"/>
          <w:sz w:val="24"/>
          <w:highlight w:val="none"/>
        </w:rPr>
        <w:t>。</w:t>
      </w:r>
    </w:p>
    <w:p>
      <w:pPr>
        <w:spacing w:line="360" w:lineRule="auto"/>
        <w:ind w:firstLine="480" w:firstLineChars="200"/>
        <w:rPr>
          <w:rFonts w:ascii="仿宋" w:hAnsi="仿宋" w:eastAsia="仿宋"/>
          <w:bCs/>
          <w:color w:val="auto"/>
          <w:kern w:val="0"/>
          <w:sz w:val="24"/>
          <w:highlight w:val="none"/>
        </w:rPr>
      </w:pPr>
      <w:r>
        <w:rPr>
          <w:rFonts w:hint="eastAsia" w:ascii="仿宋" w:hAnsi="仿宋" w:eastAsia="仿宋"/>
          <w:bCs/>
          <w:color w:val="auto"/>
          <w:kern w:val="0"/>
          <w:sz w:val="24"/>
          <w:highlight w:val="none"/>
        </w:rPr>
        <w:t>2</w:t>
      </w:r>
      <w:r>
        <w:rPr>
          <w:rFonts w:ascii="仿宋" w:hAnsi="仿宋" w:eastAsia="仿宋"/>
          <w:bCs/>
          <w:color w:val="auto"/>
          <w:kern w:val="0"/>
          <w:sz w:val="24"/>
          <w:highlight w:val="none"/>
        </w:rPr>
        <w:t>.应附法定代表人身份证明材料复印件和被授权人</w:t>
      </w:r>
      <w:r>
        <w:rPr>
          <w:rFonts w:hint="eastAsia" w:ascii="仿宋" w:hAnsi="仿宋" w:eastAsia="仿宋"/>
          <w:bCs/>
          <w:color w:val="auto"/>
          <w:kern w:val="0"/>
          <w:sz w:val="24"/>
          <w:highlight w:val="none"/>
        </w:rPr>
        <w:t>（即：授权代表）</w:t>
      </w:r>
      <w:r>
        <w:rPr>
          <w:rFonts w:ascii="仿宋" w:hAnsi="仿宋" w:eastAsia="仿宋"/>
          <w:bCs/>
          <w:color w:val="auto"/>
          <w:kern w:val="0"/>
          <w:sz w:val="24"/>
          <w:highlight w:val="none"/>
        </w:rPr>
        <w:t>身份证明材料复印件；身份证明材料应同时提供其在有效期内的材料，如居民身份证正、反面复印件。</w:t>
      </w:r>
    </w:p>
    <w:p>
      <w:pPr>
        <w:spacing w:line="360" w:lineRule="auto"/>
        <w:rPr>
          <w:rFonts w:ascii="宋体" w:hAnsi="宋体"/>
          <w:color w:val="auto"/>
          <w:sz w:val="32"/>
          <w:highlight w:val="none"/>
        </w:rPr>
      </w:pPr>
    </w:p>
    <w:p>
      <w:pPr>
        <w:pStyle w:val="2"/>
        <w:rPr>
          <w:rFonts w:ascii="宋体" w:hAnsi="宋体"/>
          <w:color w:val="auto"/>
          <w:highlight w:val="none"/>
        </w:rPr>
      </w:pPr>
    </w:p>
    <w:p>
      <w:pPr>
        <w:spacing w:line="360" w:lineRule="auto"/>
        <w:rPr>
          <w:rFonts w:ascii="宋体" w:hAnsi="宋体"/>
          <w:color w:val="auto"/>
          <w:sz w:val="32"/>
          <w:highlight w:val="none"/>
        </w:rPr>
      </w:pPr>
    </w:p>
    <w:p>
      <w:pPr>
        <w:spacing w:line="360" w:lineRule="auto"/>
        <w:rPr>
          <w:rFonts w:ascii="宋体" w:hAnsi="宋体"/>
          <w:color w:val="auto"/>
          <w:sz w:val="32"/>
          <w:highlight w:val="none"/>
        </w:rPr>
      </w:pPr>
    </w:p>
    <w:p>
      <w:pPr>
        <w:pStyle w:val="25"/>
        <w:rPr>
          <w:color w:val="auto"/>
          <w:highlight w:val="none"/>
        </w:rPr>
      </w:pPr>
    </w:p>
    <w:p>
      <w:pPr>
        <w:pStyle w:val="4"/>
        <w:spacing w:line="480" w:lineRule="exact"/>
        <w:jc w:val="center"/>
        <w:rPr>
          <w:rFonts w:ascii="楷体_GB2312" w:hAnsi="楷体_GB2312" w:eastAsia="楷体_GB2312" w:cs="楷体_GB2312"/>
          <w:color w:val="auto"/>
          <w:sz w:val="36"/>
          <w:szCs w:val="36"/>
          <w:highlight w:val="none"/>
        </w:rPr>
      </w:pPr>
      <w:bookmarkStart w:id="302" w:name="_Toc26971"/>
      <w:bookmarkStart w:id="303" w:name="_Toc13169"/>
      <w:bookmarkStart w:id="304" w:name="_Toc18869"/>
      <w:bookmarkStart w:id="305" w:name="_Toc30560"/>
      <w:bookmarkStart w:id="306" w:name="_Toc12049"/>
      <w:r>
        <w:rPr>
          <w:rFonts w:hint="eastAsia" w:ascii="楷体_GB2312" w:hAnsi="楷体_GB2312" w:eastAsia="楷体_GB2312" w:cs="楷体_GB2312"/>
          <w:color w:val="auto"/>
          <w:sz w:val="36"/>
          <w:szCs w:val="36"/>
          <w:highlight w:val="none"/>
        </w:rPr>
        <w:t>三、承诺函</w:t>
      </w:r>
      <w:bookmarkEnd w:id="302"/>
      <w:bookmarkEnd w:id="303"/>
      <w:bookmarkEnd w:id="304"/>
      <w:bookmarkEnd w:id="305"/>
      <w:bookmarkEnd w:id="306"/>
    </w:p>
    <w:p>
      <w:pPr>
        <w:spacing w:line="520" w:lineRule="exact"/>
        <w:ind w:firstLine="562" w:firstLineChars="200"/>
        <w:jc w:val="center"/>
        <w:rPr>
          <w:rFonts w:ascii="宋体" w:hAnsi="宋体"/>
          <w:b/>
          <w:color w:val="auto"/>
          <w:sz w:val="28"/>
          <w:szCs w:val="28"/>
          <w:highlight w:val="none"/>
        </w:rPr>
      </w:pPr>
    </w:p>
    <w:p>
      <w:pPr>
        <w:spacing w:line="52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pacing w:val="8"/>
          <w:sz w:val="28"/>
          <w:szCs w:val="28"/>
          <w:highlight w:val="none"/>
          <w:u w:val="single"/>
          <w:lang w:val="en-US" w:eastAsia="zh-CN"/>
        </w:rPr>
        <w:t xml:space="preserve">   </w:t>
      </w:r>
      <w:r>
        <w:rPr>
          <w:rFonts w:hint="eastAsia" w:ascii="仿宋_GB2312" w:hAnsi="仿宋_GB2312" w:eastAsia="仿宋_GB2312" w:cs="仿宋_GB2312"/>
          <w:bCs/>
          <w:color w:val="auto"/>
          <w:spacing w:val="8"/>
          <w:sz w:val="28"/>
          <w:szCs w:val="28"/>
          <w:highlight w:val="none"/>
          <w:u w:val="single"/>
        </w:rPr>
        <w:t>有限责任公司</w:t>
      </w:r>
      <w:r>
        <w:rPr>
          <w:rFonts w:hint="eastAsia" w:ascii="仿宋_GB2312" w:hAnsi="仿宋_GB2312" w:eastAsia="仿宋_GB2312" w:cs="仿宋_GB2312"/>
          <w:color w:val="auto"/>
          <w:sz w:val="28"/>
          <w:szCs w:val="28"/>
          <w:highlight w:val="none"/>
        </w:rPr>
        <w:t>：</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我方作为本次采购项目的供应商，根据磋商文件要求，现郑重承诺如下：</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一、我方已认真阅读并接受本项目磋商文件的全部实质性要求。</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二、为采购项目提供整体设计、规范编制或者项目管理、监理、检测等服务的供应商，不得再参加该采购项目的其他采购活动，我方承诺不属于此类禁止参加本项目的供应商。</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三、在参加本次采购活动中，不存在和其他供应商在同一合同项下的采购项目中，同时委托同一个自然人、同一家庭的人员、同一单位的人员作为代理人的行为。</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四、我方实际控制人或者中高级管理人员或者其他工作人员，不存在同时是采购代理机构工作人员的情形。</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五、不存在同一母公司的两家以上的子公司，以不同供应商身份同时参加本项目同一合同项下的采购活动的情形。</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六、我方与采购代理机构不存在关联关系，也不是采购代理机构的母公司或子公司。</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七、响应文件中提供的任何资料和技术、服务、商务等响应承诺情况都是真实的、有效的、合法的。</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八、国家或行业主管部门对工程项目的技术标准、质量标准和资格资质条件等有强制性规定的，我方承诺符合其要求。</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九、参加本次采购活动，我方完全同意磋商文件第二章关于</w:t>
      </w:r>
      <w:r>
        <w:rPr>
          <w:rFonts w:hint="eastAsia" w:ascii="仿宋_GB2312" w:hAnsi="仿宋_GB2312" w:cs="仿宋_GB2312"/>
          <w:color w:val="auto"/>
          <w:sz w:val="28"/>
          <w:szCs w:val="28"/>
          <w:highlight w:val="none"/>
        </w:rPr>
        <w:t>“磋商保证金”</w:t>
      </w:r>
      <w:r>
        <w:rPr>
          <w:rFonts w:hint="eastAsia" w:ascii="仿宋_GB2312" w:hAnsi="仿宋_GB2312" w:eastAsia="仿宋_GB2312" w:cs="仿宋_GB2312"/>
          <w:color w:val="auto"/>
          <w:sz w:val="28"/>
          <w:szCs w:val="28"/>
          <w:highlight w:val="none"/>
        </w:rPr>
        <w:t>“磋商费用”、“合同分包”“合同转包”“履约保证金”的实质性要求，并承诺严格按照磋商文件要求履行。</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十一、我公司符合本项目规定的条件：</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（一）一般资格要求</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1.具有独立承担民事责任的能力；</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2.具有良好的商业信誉和健全的财务会计制度；</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3.具有履行合同所必需的设备和专业技术能力；</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4.具有依法缴纳税收和社会保障资金的良好记录；</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5.参加本次采购活动前三年内（2020年1月1日以来），</w:t>
      </w:r>
      <w:r>
        <w:rPr>
          <w:rFonts w:hint="eastAsia" w:ascii="仿宋_GB2312" w:hAnsi="仿宋_GB2312" w:eastAsia="仿宋_GB2312" w:cs="仿宋_GB2312"/>
          <w:color w:val="auto"/>
          <w:sz w:val="28"/>
          <w:szCs w:val="28"/>
          <w:highlight w:val="none"/>
          <w:lang w:eastAsia="zh-CN"/>
        </w:rPr>
        <w:t>在经营活动中没有重大违法记录</w:t>
      </w:r>
      <w:r>
        <w:rPr>
          <w:rFonts w:hint="eastAsia" w:ascii="仿宋_GB2312" w:hAnsi="仿宋_GB2312" w:eastAsia="仿宋_GB2312" w:cs="仿宋_GB2312"/>
          <w:color w:val="auto"/>
          <w:sz w:val="28"/>
          <w:szCs w:val="28"/>
          <w:highlight w:val="none"/>
        </w:rPr>
        <w:t>；</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6.我单位及其现任法定代表人、主要负责人参加本次采购活动前三年内（2020年1月1日以来）不得具有行贿犯罪记录；</w:t>
      </w:r>
    </w:p>
    <w:p>
      <w:pPr>
        <w:spacing w:line="480" w:lineRule="exact"/>
        <w:ind w:firstLine="560" w:firstLineChars="200"/>
        <w:rPr>
          <w:rFonts w:ascii="仿宋_GB2312" w:hAnsi="仿宋" w:eastAsia="仿宋_GB2312" w:cs="仿宋"/>
          <w:color w:val="auto"/>
          <w:sz w:val="28"/>
          <w:szCs w:val="28"/>
          <w:highlight w:val="none"/>
        </w:rPr>
      </w:pPr>
      <w:r>
        <w:rPr>
          <w:rFonts w:hint="eastAsia" w:ascii="仿宋_GB2312" w:hAnsi="仿宋" w:eastAsia="仿宋_GB2312" w:cs="仿宋"/>
          <w:color w:val="auto"/>
          <w:sz w:val="28"/>
          <w:szCs w:val="28"/>
          <w:highlight w:val="none"/>
        </w:rPr>
        <w:t>7.我单位未被列入工商系统经营异常名录或严重违法失信企业名单或者人民法院公布的失信被执行人名单；</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8.法律、行政法规规定的其他条件。</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（二）针对本项目的特殊资格要求。</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十二、项目经理为本单位人员，参加本项目时没有在其他未完工项目担任项目经理，成交后至本项目完工前也不得在其他项目中担任项目经理。</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十三、未处于财产被接管、冻结、破产状态，未处于四川省行政区域内有关行政处罚期间；</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十四、在采购人处没有不良施工记录或拖欠农民工工资情形。 </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我方对上述承诺的内容事项真实性负责。如经查实上述承诺的内容事项存在虚假，我方愿意接受以提供虚假材料谋取成交的法律责任。</w:t>
      </w:r>
    </w:p>
    <w:p>
      <w:pPr>
        <w:spacing w:line="520" w:lineRule="exact"/>
        <w:ind w:firstLine="560" w:firstLineChars="200"/>
        <w:rPr>
          <w:rFonts w:ascii="仿宋_GB2312" w:hAnsi="仿宋_GB2312" w:eastAsia="仿宋_GB2312" w:cs="仿宋_GB2312"/>
          <w:color w:val="auto"/>
          <w:sz w:val="28"/>
          <w:szCs w:val="28"/>
          <w:highlight w:val="none"/>
        </w:rPr>
      </w:pP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法定代表人（签字或盖章）：XXXX</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授权代表（签字）：XXXX</w:t>
      </w:r>
    </w:p>
    <w:p>
      <w:pPr>
        <w:spacing w:line="52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    （盖单位公章）</w:t>
      </w:r>
    </w:p>
    <w:p>
      <w:pPr>
        <w:spacing w:line="520" w:lineRule="exact"/>
        <w:ind w:firstLine="560" w:firstLineChars="200"/>
        <w:rPr>
          <w:rFonts w:ascii="仿宋_GB2312" w:hAnsi="仿宋_GB2312" w:eastAsia="仿宋_GB2312" w:cs="仿宋_GB2312"/>
          <w:color w:val="auto"/>
          <w:sz w:val="28"/>
          <w:szCs w:val="28"/>
          <w:highlight w:val="none"/>
        </w:rPr>
        <w:sectPr>
          <w:headerReference r:id="rId9" w:type="default"/>
          <w:footerReference r:id="rId10" w:type="default"/>
          <w:pgSz w:w="11906"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r>
        <w:rPr>
          <w:rFonts w:hint="eastAsia" w:ascii="仿宋_GB2312" w:hAnsi="仿宋_GB2312" w:eastAsia="仿宋_GB2312" w:cs="仿宋_GB2312"/>
          <w:color w:val="auto"/>
          <w:sz w:val="28"/>
          <w:szCs w:val="28"/>
          <w:highlight w:val="none"/>
        </w:rPr>
        <w:t>日    期：XXX年XXX月XXX日</w:t>
      </w:r>
    </w:p>
    <w:p>
      <w:pPr>
        <w:pStyle w:val="4"/>
        <w:spacing w:line="480" w:lineRule="exact"/>
        <w:jc w:val="center"/>
        <w:rPr>
          <w:rFonts w:ascii="楷体_GB2312" w:hAnsi="楷体_GB2312" w:eastAsia="楷体_GB2312" w:cs="楷体_GB2312"/>
          <w:color w:val="auto"/>
          <w:sz w:val="36"/>
          <w:szCs w:val="36"/>
          <w:highlight w:val="none"/>
        </w:rPr>
      </w:pPr>
      <w:bookmarkStart w:id="307" w:name="_Toc23397"/>
      <w:bookmarkStart w:id="308" w:name="_Toc27624"/>
      <w:bookmarkStart w:id="309" w:name="_Toc16414"/>
      <w:bookmarkStart w:id="310" w:name="_Toc22844"/>
      <w:bookmarkStart w:id="311" w:name="_Toc16272"/>
      <w:r>
        <w:rPr>
          <w:rFonts w:hint="eastAsia" w:ascii="楷体_GB2312" w:hAnsi="楷体_GB2312" w:eastAsia="楷体_GB2312" w:cs="楷体_GB2312"/>
          <w:color w:val="auto"/>
          <w:sz w:val="36"/>
          <w:szCs w:val="36"/>
          <w:highlight w:val="none"/>
        </w:rPr>
        <w:t>四、报价函</w:t>
      </w:r>
      <w:bookmarkEnd w:id="307"/>
      <w:bookmarkEnd w:id="308"/>
      <w:bookmarkEnd w:id="309"/>
      <w:bookmarkEnd w:id="310"/>
      <w:bookmarkEnd w:id="311"/>
    </w:p>
    <w:p>
      <w:pPr>
        <w:spacing w:line="48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bCs/>
          <w:color w:val="auto"/>
          <w:spacing w:val="8"/>
          <w:sz w:val="28"/>
          <w:szCs w:val="28"/>
          <w:highlight w:val="none"/>
          <w:u w:val="single"/>
          <w:lang w:val="en-US" w:eastAsia="zh-CN"/>
        </w:rPr>
        <w:t xml:space="preserve">    </w:t>
      </w:r>
      <w:r>
        <w:rPr>
          <w:rFonts w:hint="eastAsia" w:ascii="仿宋_GB2312" w:hAnsi="仿宋_GB2312" w:eastAsia="仿宋_GB2312" w:cs="仿宋_GB2312"/>
          <w:bCs/>
          <w:color w:val="auto"/>
          <w:spacing w:val="8"/>
          <w:sz w:val="28"/>
          <w:szCs w:val="28"/>
          <w:highlight w:val="none"/>
          <w:u w:val="single"/>
        </w:rPr>
        <w:t>有限责任公司</w:t>
      </w:r>
      <w:r>
        <w:rPr>
          <w:rFonts w:hint="eastAsia" w:ascii="仿宋_GB2312" w:hAnsi="仿宋_GB2312" w:cs="仿宋_GB2312"/>
          <w:color w:val="auto"/>
          <w:sz w:val="28"/>
          <w:szCs w:val="28"/>
          <w:highlight w:val="none"/>
        </w:rPr>
        <w:t>：</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1．我方己仔细研究了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（项目名称）磋商文件的全部内容，愿意以人民币（大写）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）的总报价，工期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日历天，按合同约定实施和完成承包工程，修补工程中的任何缺陷，工程质量达到规定要求标准。</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2．我方承诺在响应文件有效期</w:t>
      </w:r>
      <w:r>
        <w:rPr>
          <w:rFonts w:hint="eastAsia" w:ascii="仿宋_GB2312" w:hAnsi="仿宋_GB2312" w:eastAsia="仿宋_GB2312" w:cs="仿宋_GB2312"/>
          <w:color w:val="auto"/>
          <w:sz w:val="28"/>
          <w:szCs w:val="28"/>
          <w:highlight w:val="none"/>
          <w:u w:val="single"/>
        </w:rPr>
        <w:t xml:space="preserve"> 90 </w:t>
      </w:r>
      <w:r>
        <w:rPr>
          <w:rFonts w:hint="eastAsia" w:ascii="仿宋_GB2312" w:hAnsi="仿宋_GB2312" w:eastAsia="仿宋_GB2312" w:cs="仿宋_GB2312"/>
          <w:color w:val="auto"/>
          <w:sz w:val="28"/>
          <w:szCs w:val="28"/>
          <w:highlight w:val="none"/>
        </w:rPr>
        <w:t>天内不修改、撤销响应文件。</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3．如我方成交：</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（1）我方承诺在收到成交通知书后，在规定的期限内与采购人签订合同。</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（2）我方承诺按照磋商文件规定的金额和方式向采购人缴纳履约保证金。</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（3）我方将严格履行采购合同规定的责任和义务。</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（4）我方愿意提供贵单位可能另外要求的，与磋商报价有关的文件资料，并保证我方已提供和将要提供的文件资料是真实、准确的。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（5）我方自愿按照磋商文件规定的各项要求完成工程建设项目，最后报价以《最后报价表》为准，接受采购人按照采购合同约定金额支付采购资金。</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（其他补充说明）。</w:t>
      </w:r>
    </w:p>
    <w:p>
      <w:pPr>
        <w:spacing w:line="480" w:lineRule="exact"/>
        <w:ind w:firstLine="560" w:firstLineChars="200"/>
        <w:rPr>
          <w:rFonts w:ascii="仿宋_GB2312" w:hAnsi="仿宋_GB2312" w:eastAsia="仿宋_GB2312" w:cs="仿宋_GB2312"/>
          <w:color w:val="auto"/>
          <w:sz w:val="28"/>
          <w:szCs w:val="28"/>
          <w:highlight w:val="none"/>
        </w:rPr>
      </w:pP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（盖单位公章）</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法定代表人或授权代表（签字或盖章）：</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通讯地址：</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传真：</w:t>
      </w:r>
      <w:r>
        <w:rPr>
          <w:rFonts w:hint="eastAsia" w:ascii="仿宋_GB2312" w:hAnsi="仿宋_GB2312" w:eastAsia="仿宋_GB2312" w:cs="仿宋_GB2312"/>
          <w:color w:val="auto"/>
          <w:sz w:val="28"/>
          <w:szCs w:val="28"/>
          <w:highlight w:val="none"/>
          <w:u w:val="single"/>
        </w:rPr>
        <w:t xml:space="preserve">         </w:t>
      </w:r>
    </w:p>
    <w:p>
      <w:pPr>
        <w:spacing w:line="480" w:lineRule="exact"/>
        <w:ind w:firstLine="560" w:firstLineChars="200"/>
        <w:rPr>
          <w:rFonts w:ascii="宋体" w:hAnsi="宋体"/>
          <w:color w:val="auto"/>
          <w:sz w:val="24"/>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rPr>
          <w:rFonts w:ascii="仿宋_GB2312" w:hAnsi="仿宋_GB2312" w:eastAsia="仿宋_GB2312" w:cs="仿宋_GB2312"/>
          <w:b/>
          <w:bCs/>
          <w:color w:val="auto"/>
          <w:kern w:val="0"/>
          <w:sz w:val="28"/>
          <w:szCs w:val="28"/>
          <w:highlight w:val="none"/>
        </w:rPr>
        <w:sectPr>
          <w:pgSz w:w="11907" w:h="16839"/>
          <w:pgMar w:top="1440" w:right="1797" w:bottom="1440" w:left="1797" w:header="851" w:footer="85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_GB2312" w:hAnsi="仿宋_GB2312" w:eastAsia="仿宋_GB2312" w:cs="仿宋_GB2312"/>
          <w:b/>
          <w:bCs/>
          <w:color w:val="auto"/>
          <w:kern w:val="0"/>
          <w:sz w:val="28"/>
          <w:szCs w:val="28"/>
          <w:highlight w:val="none"/>
        </w:rPr>
        <w:br w:type="page"/>
      </w:r>
    </w:p>
    <w:p>
      <w:pPr>
        <w:pStyle w:val="4"/>
        <w:spacing w:line="480" w:lineRule="exact"/>
        <w:jc w:val="center"/>
        <w:rPr>
          <w:rFonts w:ascii="楷体_GB2312" w:hAnsi="楷体_GB2312" w:eastAsia="楷体_GB2312" w:cs="楷体_GB2312"/>
          <w:color w:val="auto"/>
          <w:sz w:val="36"/>
          <w:szCs w:val="36"/>
          <w:highlight w:val="none"/>
        </w:rPr>
      </w:pPr>
      <w:bookmarkStart w:id="312" w:name="_Toc23764"/>
      <w:bookmarkStart w:id="313" w:name="_Toc14461"/>
      <w:bookmarkStart w:id="314" w:name="_Toc8786"/>
      <w:bookmarkStart w:id="315" w:name="_Toc7728"/>
      <w:bookmarkStart w:id="316" w:name="_Toc444267818"/>
      <w:r>
        <w:rPr>
          <w:rFonts w:hint="eastAsia" w:ascii="楷体_GB2312" w:hAnsi="楷体_GB2312" w:eastAsia="楷体_GB2312" w:cs="楷体_GB2312"/>
          <w:color w:val="auto"/>
          <w:sz w:val="36"/>
          <w:szCs w:val="36"/>
          <w:highlight w:val="none"/>
        </w:rPr>
        <w:t>五、供应商基本情况表</w:t>
      </w:r>
      <w:bookmarkEnd w:id="312"/>
      <w:bookmarkEnd w:id="313"/>
      <w:bookmarkEnd w:id="314"/>
      <w:bookmarkEnd w:id="315"/>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401"/>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供应商名称</w:t>
            </w:r>
          </w:p>
        </w:tc>
        <w:tc>
          <w:tcPr>
            <w:tcW w:w="7881" w:type="dxa"/>
            <w:gridSpan w:val="11"/>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注册地址</w:t>
            </w:r>
          </w:p>
        </w:tc>
        <w:tc>
          <w:tcPr>
            <w:tcW w:w="5001" w:type="dxa"/>
            <w:gridSpan w:val="6"/>
            <w:vAlign w:val="center"/>
          </w:tcPr>
          <w:p>
            <w:pPr>
              <w:spacing w:line="400" w:lineRule="exact"/>
              <w:jc w:val="center"/>
              <w:rPr>
                <w:rFonts w:ascii="仿宋_GB2312" w:hAnsi="仿宋_GB2312" w:eastAsia="仿宋_GB2312" w:cs="仿宋_GB2312"/>
                <w:bCs/>
                <w:color w:val="auto"/>
                <w:sz w:val="24"/>
                <w:highlight w:val="none"/>
              </w:rPr>
            </w:pPr>
          </w:p>
        </w:tc>
        <w:tc>
          <w:tcPr>
            <w:tcW w:w="126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邮政编码</w:t>
            </w:r>
          </w:p>
        </w:tc>
        <w:tc>
          <w:tcPr>
            <w:tcW w:w="1620" w:type="dxa"/>
            <w:gridSpan w:val="2"/>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65" w:type="dxa"/>
            <w:vMerge w:val="restart"/>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联系方式</w:t>
            </w:r>
          </w:p>
        </w:tc>
        <w:tc>
          <w:tcPr>
            <w:tcW w:w="1401"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联系人</w:t>
            </w:r>
          </w:p>
        </w:tc>
        <w:tc>
          <w:tcPr>
            <w:tcW w:w="3600" w:type="dxa"/>
            <w:gridSpan w:val="5"/>
            <w:vAlign w:val="center"/>
          </w:tcPr>
          <w:p>
            <w:pPr>
              <w:spacing w:line="400" w:lineRule="exact"/>
              <w:jc w:val="center"/>
              <w:rPr>
                <w:rFonts w:ascii="仿宋_GB2312" w:hAnsi="仿宋_GB2312" w:eastAsia="仿宋_GB2312" w:cs="仿宋_GB2312"/>
                <w:bCs/>
                <w:color w:val="auto"/>
                <w:sz w:val="24"/>
                <w:highlight w:val="none"/>
              </w:rPr>
            </w:pPr>
          </w:p>
        </w:tc>
        <w:tc>
          <w:tcPr>
            <w:tcW w:w="126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联系电话</w:t>
            </w:r>
          </w:p>
        </w:tc>
        <w:tc>
          <w:tcPr>
            <w:tcW w:w="1620" w:type="dxa"/>
            <w:gridSpan w:val="2"/>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65" w:type="dxa"/>
            <w:vMerge w:val="continue"/>
            <w:vAlign w:val="center"/>
          </w:tcPr>
          <w:p>
            <w:pPr>
              <w:spacing w:line="400" w:lineRule="exact"/>
              <w:jc w:val="center"/>
              <w:rPr>
                <w:rFonts w:ascii="仿宋_GB2312" w:hAnsi="仿宋_GB2312" w:eastAsia="仿宋_GB2312" w:cs="仿宋_GB2312"/>
                <w:bCs/>
                <w:color w:val="auto"/>
                <w:sz w:val="24"/>
                <w:highlight w:val="none"/>
              </w:rPr>
            </w:pPr>
          </w:p>
        </w:tc>
        <w:tc>
          <w:tcPr>
            <w:tcW w:w="1401"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传真</w:t>
            </w:r>
          </w:p>
        </w:tc>
        <w:tc>
          <w:tcPr>
            <w:tcW w:w="3600" w:type="dxa"/>
            <w:gridSpan w:val="5"/>
            <w:vAlign w:val="center"/>
          </w:tcPr>
          <w:p>
            <w:pPr>
              <w:spacing w:line="400" w:lineRule="exact"/>
              <w:jc w:val="center"/>
              <w:rPr>
                <w:rFonts w:ascii="仿宋_GB2312" w:hAnsi="仿宋_GB2312" w:eastAsia="仿宋_GB2312" w:cs="仿宋_GB2312"/>
                <w:bCs/>
                <w:color w:val="auto"/>
                <w:sz w:val="24"/>
                <w:highlight w:val="none"/>
              </w:rPr>
            </w:pPr>
          </w:p>
        </w:tc>
        <w:tc>
          <w:tcPr>
            <w:tcW w:w="126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网址</w:t>
            </w:r>
          </w:p>
        </w:tc>
        <w:tc>
          <w:tcPr>
            <w:tcW w:w="1620" w:type="dxa"/>
            <w:gridSpan w:val="2"/>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组织结构</w:t>
            </w:r>
          </w:p>
        </w:tc>
        <w:tc>
          <w:tcPr>
            <w:tcW w:w="7881" w:type="dxa"/>
            <w:gridSpan w:val="11"/>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法定代表人</w:t>
            </w:r>
          </w:p>
        </w:tc>
        <w:tc>
          <w:tcPr>
            <w:tcW w:w="1581" w:type="dxa"/>
            <w:gridSpan w:val="2"/>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姓名</w:t>
            </w:r>
          </w:p>
        </w:tc>
        <w:tc>
          <w:tcPr>
            <w:tcW w:w="1260" w:type="dxa"/>
            <w:vAlign w:val="center"/>
          </w:tcPr>
          <w:p>
            <w:pPr>
              <w:spacing w:line="400" w:lineRule="exact"/>
              <w:jc w:val="center"/>
              <w:rPr>
                <w:rFonts w:ascii="仿宋_GB2312" w:hAnsi="仿宋_GB2312" w:eastAsia="仿宋_GB2312" w:cs="仿宋_GB2312"/>
                <w:bCs/>
                <w:color w:val="auto"/>
                <w:sz w:val="24"/>
                <w:highlight w:val="none"/>
              </w:rPr>
            </w:pPr>
          </w:p>
        </w:tc>
        <w:tc>
          <w:tcPr>
            <w:tcW w:w="1260"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技术职称</w:t>
            </w:r>
          </w:p>
        </w:tc>
        <w:tc>
          <w:tcPr>
            <w:tcW w:w="1260"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126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联系电话</w:t>
            </w:r>
          </w:p>
        </w:tc>
        <w:tc>
          <w:tcPr>
            <w:tcW w:w="1260" w:type="dxa"/>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技术负责人</w:t>
            </w:r>
          </w:p>
        </w:tc>
        <w:tc>
          <w:tcPr>
            <w:tcW w:w="1581" w:type="dxa"/>
            <w:gridSpan w:val="2"/>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姓名</w:t>
            </w:r>
          </w:p>
        </w:tc>
        <w:tc>
          <w:tcPr>
            <w:tcW w:w="1260" w:type="dxa"/>
            <w:vAlign w:val="center"/>
          </w:tcPr>
          <w:p>
            <w:pPr>
              <w:spacing w:line="400" w:lineRule="exact"/>
              <w:jc w:val="center"/>
              <w:rPr>
                <w:rFonts w:ascii="仿宋_GB2312" w:hAnsi="仿宋_GB2312" w:eastAsia="仿宋_GB2312" w:cs="仿宋_GB2312"/>
                <w:bCs/>
                <w:color w:val="auto"/>
                <w:sz w:val="24"/>
                <w:highlight w:val="none"/>
              </w:rPr>
            </w:pPr>
          </w:p>
        </w:tc>
        <w:tc>
          <w:tcPr>
            <w:tcW w:w="1260"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技术职称</w:t>
            </w:r>
          </w:p>
        </w:tc>
        <w:tc>
          <w:tcPr>
            <w:tcW w:w="1260"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126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联系电话</w:t>
            </w:r>
          </w:p>
        </w:tc>
        <w:tc>
          <w:tcPr>
            <w:tcW w:w="1260" w:type="dxa"/>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成立时间</w:t>
            </w:r>
          </w:p>
        </w:tc>
        <w:tc>
          <w:tcPr>
            <w:tcW w:w="2841"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5040" w:type="dxa"/>
            <w:gridSpan w:val="8"/>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企业资质等级</w:t>
            </w:r>
          </w:p>
        </w:tc>
        <w:tc>
          <w:tcPr>
            <w:tcW w:w="2841"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2"/>
            <w:vMerge w:val="restart"/>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其中</w:t>
            </w: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项目经理</w:t>
            </w: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营业执照</w:t>
            </w:r>
            <w:r>
              <w:rPr>
                <w:rFonts w:hint="eastAsia" w:ascii="仿宋_GB2312" w:hAnsi="仿宋_GB2312" w:eastAsia="仿宋_GB2312" w:cs="仿宋_GB2312"/>
                <w:color w:val="auto"/>
                <w:sz w:val="24"/>
                <w:highlight w:val="none"/>
              </w:rPr>
              <w:t>号</w:t>
            </w:r>
          </w:p>
        </w:tc>
        <w:tc>
          <w:tcPr>
            <w:tcW w:w="2841"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2"/>
            <w:vMerge w:val="continue"/>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高级职称人员</w:t>
            </w: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注册资金</w:t>
            </w:r>
          </w:p>
        </w:tc>
        <w:tc>
          <w:tcPr>
            <w:tcW w:w="2841"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2"/>
            <w:vMerge w:val="continue"/>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中级职称人员</w:t>
            </w: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开户银行</w:t>
            </w:r>
          </w:p>
        </w:tc>
        <w:tc>
          <w:tcPr>
            <w:tcW w:w="2841"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2"/>
            <w:vMerge w:val="continue"/>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初级职称人员</w:t>
            </w: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账号</w:t>
            </w:r>
          </w:p>
        </w:tc>
        <w:tc>
          <w:tcPr>
            <w:tcW w:w="2841" w:type="dxa"/>
            <w:gridSpan w:val="3"/>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2"/>
            <w:vMerge w:val="continue"/>
            <w:vAlign w:val="center"/>
          </w:tcPr>
          <w:p>
            <w:pPr>
              <w:spacing w:line="400" w:lineRule="exact"/>
              <w:jc w:val="center"/>
              <w:rPr>
                <w:rFonts w:ascii="仿宋_GB2312" w:hAnsi="仿宋_GB2312" w:eastAsia="仿宋_GB2312" w:cs="仿宋_GB2312"/>
                <w:bCs/>
                <w:color w:val="auto"/>
                <w:sz w:val="24"/>
                <w:highlight w:val="none"/>
              </w:rPr>
            </w:pP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技工</w:t>
            </w:r>
          </w:p>
        </w:tc>
        <w:tc>
          <w:tcPr>
            <w:tcW w:w="1680" w:type="dxa"/>
            <w:gridSpan w:val="3"/>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经营范围</w:t>
            </w:r>
          </w:p>
        </w:tc>
        <w:tc>
          <w:tcPr>
            <w:tcW w:w="7881" w:type="dxa"/>
            <w:gridSpan w:val="11"/>
            <w:vAlign w:val="center"/>
          </w:tcPr>
          <w:p>
            <w:pPr>
              <w:spacing w:line="4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65" w:type="dxa"/>
            <w:vAlign w:val="center"/>
          </w:tcPr>
          <w:p>
            <w:pPr>
              <w:spacing w:line="4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备注</w:t>
            </w:r>
          </w:p>
        </w:tc>
        <w:tc>
          <w:tcPr>
            <w:tcW w:w="7881" w:type="dxa"/>
            <w:gridSpan w:val="11"/>
            <w:vAlign w:val="center"/>
          </w:tcPr>
          <w:p>
            <w:pPr>
              <w:spacing w:line="400" w:lineRule="exact"/>
              <w:jc w:val="center"/>
              <w:rPr>
                <w:rFonts w:ascii="仿宋_GB2312" w:hAnsi="仿宋_GB2312" w:eastAsia="仿宋_GB2312" w:cs="仿宋_GB2312"/>
                <w:bCs/>
                <w:color w:val="auto"/>
                <w:sz w:val="24"/>
                <w:highlight w:val="none"/>
              </w:rPr>
            </w:pPr>
          </w:p>
        </w:tc>
      </w:tr>
    </w:tbl>
    <w:p>
      <w:pPr>
        <w:adjustRightInd w:val="0"/>
        <w:spacing w:line="4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附：有效的营业执照副本复印件。</w:t>
      </w:r>
    </w:p>
    <w:p>
      <w:pPr>
        <w:adjustRightInd w:val="0"/>
        <w:spacing w:line="360" w:lineRule="auto"/>
        <w:jc w:val="left"/>
        <w:rPr>
          <w:rFonts w:ascii="宋体" w:hAnsi="宋体"/>
          <w:color w:val="auto"/>
          <w:sz w:val="24"/>
          <w:highlight w:val="none"/>
        </w:rPr>
      </w:pPr>
    </w:p>
    <w:p>
      <w:pPr>
        <w:adjustRightIn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供应商名称：XXX（盖单位公章）</w:t>
      </w:r>
    </w:p>
    <w:p>
      <w:pPr>
        <w:adjustRightInd w:val="0"/>
        <w:spacing w:line="48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法定代表人或授权代表（签字或盖章）：XXX</w:t>
      </w:r>
    </w:p>
    <w:p>
      <w:pPr>
        <w:adjustRightInd w:val="0"/>
        <w:spacing w:line="48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日  期：XXX年XXX月XXX日</w:t>
      </w:r>
    </w:p>
    <w:p>
      <w:pPr>
        <w:ind w:left="2940" w:leftChars="1400"/>
        <w:rPr>
          <w:rFonts w:ascii="仿宋_GB2312" w:hAnsi="仿宋_GB2312" w:eastAsia="仿宋_GB2312" w:cs="仿宋_GB2312"/>
          <w:bCs/>
          <w:color w:val="auto"/>
          <w:sz w:val="28"/>
          <w:szCs w:val="28"/>
          <w:highlight w:val="none"/>
        </w:rPr>
      </w:pPr>
    </w:p>
    <w:p>
      <w:pPr>
        <w:rPr>
          <w:rFonts w:ascii="仿宋_GB2312" w:hAnsi="仿宋_GB2312" w:eastAsia="仿宋_GB2312" w:cs="仿宋_GB2312"/>
          <w:bCs/>
          <w:color w:val="auto"/>
          <w:sz w:val="28"/>
          <w:szCs w:val="28"/>
          <w:highlight w:val="none"/>
        </w:rPr>
      </w:pPr>
    </w:p>
    <w:p>
      <w:pPr>
        <w:pStyle w:val="2"/>
        <w:spacing w:line="240" w:lineRule="auto"/>
        <w:rPr>
          <w:color w:val="auto"/>
          <w:highlight w:val="none"/>
        </w:rPr>
      </w:pPr>
    </w:p>
    <w:p>
      <w:pPr>
        <w:pStyle w:val="25"/>
        <w:spacing w:line="360" w:lineRule="auto"/>
        <w:jc w:val="center"/>
        <w:rPr>
          <w:rFonts w:ascii="楷体_GB2312" w:hAnsi="楷体_GB2312" w:eastAsia="楷体_GB2312" w:cs="楷体_GB2312"/>
          <w:i w:val="0"/>
          <w:iCs w:val="0"/>
          <w:color w:val="auto"/>
          <w:sz w:val="36"/>
          <w:szCs w:val="36"/>
          <w:highlight w:val="none"/>
        </w:rPr>
      </w:pPr>
      <w:bookmarkStart w:id="317" w:name="_Toc96702578"/>
      <w:bookmarkStart w:id="318" w:name="_Toc96761126"/>
    </w:p>
    <w:p>
      <w:pPr>
        <w:pStyle w:val="4"/>
        <w:spacing w:line="480" w:lineRule="exact"/>
        <w:jc w:val="center"/>
        <w:rPr>
          <w:rFonts w:ascii="楷体_GB2312" w:hAnsi="楷体_GB2312" w:eastAsia="楷体_GB2312" w:cs="楷体_GB2312"/>
          <w:color w:val="auto"/>
          <w:sz w:val="36"/>
          <w:szCs w:val="36"/>
          <w:highlight w:val="none"/>
        </w:rPr>
      </w:pPr>
      <w:bookmarkStart w:id="319" w:name="_Toc2254"/>
      <w:bookmarkStart w:id="320" w:name="_Toc25233"/>
      <w:bookmarkStart w:id="321" w:name="_Toc22304"/>
      <w:bookmarkStart w:id="322" w:name="_Toc15967"/>
      <w:r>
        <w:rPr>
          <w:rFonts w:hint="eastAsia" w:ascii="楷体_GB2312" w:hAnsi="楷体_GB2312" w:eastAsia="楷体_GB2312" w:cs="楷体_GB2312"/>
          <w:color w:val="auto"/>
          <w:sz w:val="36"/>
          <w:szCs w:val="36"/>
          <w:highlight w:val="none"/>
        </w:rPr>
        <w:t>六、技术、服务及商务要求应答表</w:t>
      </w:r>
      <w:bookmarkEnd w:id="319"/>
      <w:bookmarkEnd w:id="320"/>
      <w:bookmarkEnd w:id="321"/>
      <w:bookmarkEnd w:id="322"/>
    </w:p>
    <w:p>
      <w:pPr>
        <w:pStyle w:val="23"/>
        <w:pBdr>
          <w:bottom w:val="none" w:color="auto" w:sz="0" w:space="0"/>
        </w:pBdr>
        <w:tabs>
          <w:tab w:val="clear" w:pos="4153"/>
          <w:tab w:val="clear" w:pos="8306"/>
        </w:tabs>
        <w:snapToGrid/>
        <w:jc w:val="both"/>
        <w:rPr>
          <w:rFonts w:ascii="宋体" w:hAnsi="宋体"/>
          <w:color w:val="auto"/>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4310"/>
        <w:gridCol w:w="2383"/>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98" w:type="dxa"/>
            <w:vAlign w:val="center"/>
          </w:tcPr>
          <w:p>
            <w:pPr>
              <w:spacing w:line="4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4310" w:type="dxa"/>
            <w:vAlign w:val="center"/>
          </w:tcPr>
          <w:p>
            <w:pPr>
              <w:spacing w:line="480" w:lineRule="exact"/>
              <w:ind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采购文件要求</w:t>
            </w:r>
          </w:p>
        </w:tc>
        <w:tc>
          <w:tcPr>
            <w:tcW w:w="2383" w:type="dxa"/>
            <w:vAlign w:val="center"/>
          </w:tcPr>
          <w:p>
            <w:pPr>
              <w:spacing w:line="48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响应文件响应</w:t>
            </w:r>
          </w:p>
        </w:tc>
        <w:tc>
          <w:tcPr>
            <w:tcW w:w="1784" w:type="dxa"/>
            <w:vAlign w:val="center"/>
          </w:tcPr>
          <w:p>
            <w:pPr>
              <w:spacing w:line="48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98" w:type="dxa"/>
          </w:tcPr>
          <w:p>
            <w:pPr>
              <w:spacing w:line="480" w:lineRule="exact"/>
              <w:ind w:firstLine="480" w:firstLineChars="200"/>
              <w:rPr>
                <w:rFonts w:ascii="仿宋_GB2312" w:hAnsi="仿宋_GB2312" w:eastAsia="仿宋_GB2312" w:cs="仿宋_GB2312"/>
                <w:color w:val="auto"/>
                <w:sz w:val="24"/>
                <w:highlight w:val="none"/>
              </w:rPr>
            </w:pPr>
          </w:p>
        </w:tc>
        <w:tc>
          <w:tcPr>
            <w:tcW w:w="4310" w:type="dxa"/>
          </w:tcPr>
          <w:p>
            <w:pPr>
              <w:spacing w:line="480" w:lineRule="exact"/>
              <w:ind w:firstLine="480" w:firstLineChars="200"/>
              <w:rPr>
                <w:rFonts w:ascii="仿宋_GB2312" w:hAnsi="仿宋_GB2312" w:eastAsia="仿宋_GB2312" w:cs="仿宋_GB2312"/>
                <w:color w:val="auto"/>
                <w:sz w:val="24"/>
                <w:highlight w:val="none"/>
              </w:rPr>
            </w:pPr>
          </w:p>
        </w:tc>
        <w:tc>
          <w:tcPr>
            <w:tcW w:w="2383" w:type="dxa"/>
          </w:tcPr>
          <w:p>
            <w:pPr>
              <w:spacing w:line="480" w:lineRule="exact"/>
              <w:ind w:firstLine="480" w:firstLineChars="200"/>
              <w:rPr>
                <w:rFonts w:ascii="仿宋_GB2312" w:hAnsi="仿宋_GB2312" w:eastAsia="仿宋_GB2312" w:cs="仿宋_GB2312"/>
                <w:color w:val="auto"/>
                <w:sz w:val="24"/>
                <w:highlight w:val="none"/>
              </w:rPr>
            </w:pPr>
          </w:p>
        </w:tc>
        <w:tc>
          <w:tcPr>
            <w:tcW w:w="1784" w:type="dxa"/>
          </w:tcPr>
          <w:p>
            <w:pPr>
              <w:spacing w:line="480" w:lineRule="exact"/>
              <w:ind w:firstLine="480" w:firstLineChars="200"/>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98" w:type="dxa"/>
          </w:tcPr>
          <w:p>
            <w:pPr>
              <w:spacing w:line="480" w:lineRule="exact"/>
              <w:ind w:firstLine="480" w:firstLineChars="200"/>
              <w:rPr>
                <w:rFonts w:ascii="仿宋_GB2312" w:hAnsi="仿宋_GB2312" w:eastAsia="仿宋_GB2312" w:cs="仿宋_GB2312"/>
                <w:color w:val="auto"/>
                <w:sz w:val="24"/>
                <w:highlight w:val="none"/>
              </w:rPr>
            </w:pPr>
          </w:p>
        </w:tc>
        <w:tc>
          <w:tcPr>
            <w:tcW w:w="4310" w:type="dxa"/>
          </w:tcPr>
          <w:p>
            <w:pPr>
              <w:spacing w:line="480" w:lineRule="exact"/>
              <w:ind w:firstLine="480" w:firstLineChars="200"/>
              <w:rPr>
                <w:rFonts w:ascii="仿宋_GB2312" w:hAnsi="仿宋_GB2312" w:eastAsia="仿宋_GB2312" w:cs="仿宋_GB2312"/>
                <w:color w:val="auto"/>
                <w:sz w:val="24"/>
                <w:highlight w:val="none"/>
              </w:rPr>
            </w:pPr>
          </w:p>
        </w:tc>
        <w:tc>
          <w:tcPr>
            <w:tcW w:w="2383" w:type="dxa"/>
          </w:tcPr>
          <w:p>
            <w:pPr>
              <w:spacing w:line="480" w:lineRule="exact"/>
              <w:ind w:firstLine="480" w:firstLineChars="200"/>
              <w:rPr>
                <w:rFonts w:ascii="仿宋_GB2312" w:hAnsi="仿宋_GB2312" w:eastAsia="仿宋_GB2312" w:cs="仿宋_GB2312"/>
                <w:color w:val="auto"/>
                <w:sz w:val="24"/>
                <w:highlight w:val="none"/>
              </w:rPr>
            </w:pPr>
          </w:p>
        </w:tc>
        <w:tc>
          <w:tcPr>
            <w:tcW w:w="1784" w:type="dxa"/>
          </w:tcPr>
          <w:p>
            <w:pPr>
              <w:spacing w:line="480" w:lineRule="exact"/>
              <w:ind w:firstLine="480" w:firstLineChars="200"/>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98" w:type="dxa"/>
          </w:tcPr>
          <w:p>
            <w:pPr>
              <w:spacing w:line="480" w:lineRule="exact"/>
              <w:ind w:firstLine="480" w:firstLineChars="200"/>
              <w:rPr>
                <w:rFonts w:ascii="仿宋_GB2312" w:hAnsi="仿宋_GB2312" w:eastAsia="仿宋_GB2312" w:cs="仿宋_GB2312"/>
                <w:color w:val="auto"/>
                <w:sz w:val="24"/>
                <w:highlight w:val="none"/>
              </w:rPr>
            </w:pPr>
          </w:p>
        </w:tc>
        <w:tc>
          <w:tcPr>
            <w:tcW w:w="4310" w:type="dxa"/>
          </w:tcPr>
          <w:p>
            <w:pPr>
              <w:spacing w:line="480" w:lineRule="exact"/>
              <w:ind w:firstLine="480" w:firstLineChars="200"/>
              <w:rPr>
                <w:rFonts w:ascii="仿宋_GB2312" w:hAnsi="仿宋_GB2312" w:eastAsia="仿宋_GB2312" w:cs="仿宋_GB2312"/>
                <w:color w:val="auto"/>
                <w:sz w:val="24"/>
                <w:highlight w:val="none"/>
              </w:rPr>
            </w:pPr>
          </w:p>
        </w:tc>
        <w:tc>
          <w:tcPr>
            <w:tcW w:w="2383" w:type="dxa"/>
          </w:tcPr>
          <w:p>
            <w:pPr>
              <w:spacing w:line="480" w:lineRule="exact"/>
              <w:ind w:firstLine="480" w:firstLineChars="200"/>
              <w:rPr>
                <w:rFonts w:ascii="仿宋_GB2312" w:hAnsi="仿宋_GB2312" w:eastAsia="仿宋_GB2312" w:cs="仿宋_GB2312"/>
                <w:color w:val="auto"/>
                <w:sz w:val="24"/>
                <w:highlight w:val="none"/>
              </w:rPr>
            </w:pPr>
          </w:p>
        </w:tc>
        <w:tc>
          <w:tcPr>
            <w:tcW w:w="1784" w:type="dxa"/>
          </w:tcPr>
          <w:p>
            <w:pPr>
              <w:spacing w:line="480" w:lineRule="exact"/>
              <w:ind w:firstLine="480" w:firstLineChars="200"/>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98" w:type="dxa"/>
          </w:tcPr>
          <w:p>
            <w:pPr>
              <w:spacing w:line="480" w:lineRule="exact"/>
              <w:ind w:firstLine="480" w:firstLineChars="200"/>
              <w:rPr>
                <w:rFonts w:ascii="仿宋_GB2312" w:hAnsi="仿宋_GB2312" w:eastAsia="仿宋_GB2312" w:cs="仿宋_GB2312"/>
                <w:color w:val="auto"/>
                <w:sz w:val="24"/>
                <w:highlight w:val="none"/>
              </w:rPr>
            </w:pPr>
          </w:p>
        </w:tc>
        <w:tc>
          <w:tcPr>
            <w:tcW w:w="4310" w:type="dxa"/>
          </w:tcPr>
          <w:p>
            <w:pPr>
              <w:spacing w:line="480" w:lineRule="exact"/>
              <w:ind w:firstLine="480" w:firstLineChars="200"/>
              <w:rPr>
                <w:rFonts w:ascii="仿宋_GB2312" w:hAnsi="仿宋_GB2312" w:eastAsia="仿宋_GB2312" w:cs="仿宋_GB2312"/>
                <w:color w:val="auto"/>
                <w:sz w:val="24"/>
                <w:highlight w:val="none"/>
              </w:rPr>
            </w:pPr>
          </w:p>
        </w:tc>
        <w:tc>
          <w:tcPr>
            <w:tcW w:w="2383" w:type="dxa"/>
          </w:tcPr>
          <w:p>
            <w:pPr>
              <w:spacing w:line="480" w:lineRule="exact"/>
              <w:ind w:firstLine="480" w:firstLineChars="200"/>
              <w:rPr>
                <w:rFonts w:ascii="仿宋_GB2312" w:hAnsi="仿宋_GB2312" w:eastAsia="仿宋_GB2312" w:cs="仿宋_GB2312"/>
                <w:color w:val="auto"/>
                <w:sz w:val="24"/>
                <w:highlight w:val="none"/>
              </w:rPr>
            </w:pPr>
          </w:p>
        </w:tc>
        <w:tc>
          <w:tcPr>
            <w:tcW w:w="1784" w:type="dxa"/>
          </w:tcPr>
          <w:p>
            <w:pPr>
              <w:spacing w:line="480" w:lineRule="exact"/>
              <w:ind w:firstLine="480" w:firstLineChars="200"/>
              <w:rPr>
                <w:rFonts w:ascii="仿宋_GB2312" w:hAnsi="仿宋_GB2312" w:eastAsia="仿宋_GB2312" w:cs="仿宋_GB2312"/>
                <w:color w:val="auto"/>
                <w:sz w:val="24"/>
                <w:highlight w:val="none"/>
              </w:rPr>
            </w:pPr>
          </w:p>
        </w:tc>
      </w:tr>
    </w:tbl>
    <w:p>
      <w:pPr>
        <w:spacing w:line="360" w:lineRule="auto"/>
        <w:ind w:firstLine="482" w:firstLineChars="200"/>
        <w:rPr>
          <w:rFonts w:ascii="仿宋" w:hAnsi="仿宋" w:eastAsia="仿宋"/>
          <w:b/>
          <w:bCs/>
          <w:color w:val="auto"/>
          <w:sz w:val="24"/>
          <w:highlight w:val="none"/>
        </w:rPr>
      </w:pPr>
    </w:p>
    <w:p>
      <w:pPr>
        <w:spacing w:line="360" w:lineRule="auto"/>
        <w:ind w:firstLine="482" w:firstLineChars="200"/>
        <w:rPr>
          <w:rFonts w:ascii="仿宋" w:hAnsi="仿宋" w:eastAsia="仿宋"/>
          <w:b/>
          <w:bCs/>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color w:val="auto"/>
          <w:sz w:val="24"/>
          <w:highlight w:val="none"/>
        </w:rPr>
        <w:t>供应商必须根据磋商文件要求据实逐条填写，不得虚假陈述，否则，其响应文件无效并按规定追究其相关责任。</w:t>
      </w:r>
    </w:p>
    <w:p>
      <w:pPr>
        <w:adjustRightInd w:val="0"/>
        <w:spacing w:line="360" w:lineRule="auto"/>
        <w:ind w:firstLine="480" w:firstLineChars="200"/>
        <w:rPr>
          <w:rFonts w:ascii="宋体" w:hAnsi="宋体"/>
          <w:color w:val="auto"/>
          <w:sz w:val="24"/>
          <w:highlight w:val="none"/>
        </w:rPr>
      </w:pPr>
    </w:p>
    <w:bookmarkEnd w:id="317"/>
    <w:bookmarkEnd w:id="318"/>
    <w:p>
      <w:pPr>
        <w:adjustRightIn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供应商名称：XXX（盖单位公章）</w:t>
      </w:r>
    </w:p>
    <w:p>
      <w:pPr>
        <w:adjustRightInd w:val="0"/>
        <w:spacing w:line="480" w:lineRule="exact"/>
        <w:ind w:firstLine="560" w:firstLineChars="200"/>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法定代表人或授权代表（签字或盖章）：XXX</w:t>
      </w:r>
    </w:p>
    <w:p>
      <w:pPr>
        <w:adjustRightInd w:val="0"/>
        <w:spacing w:line="480" w:lineRule="exact"/>
        <w:ind w:firstLine="560" w:firstLineChars="200"/>
        <w:rPr>
          <w:rFonts w:ascii="宋体" w:hAnsi="宋体"/>
          <w:bCs/>
          <w:color w:val="auto"/>
          <w:sz w:val="24"/>
          <w:highlight w:val="none"/>
        </w:rPr>
      </w:pPr>
      <w:r>
        <w:rPr>
          <w:rFonts w:hint="eastAsia" w:ascii="仿宋_GB2312" w:hAnsi="仿宋_GB2312" w:eastAsia="仿宋_GB2312" w:cs="仿宋_GB2312"/>
          <w:bCs/>
          <w:color w:val="auto"/>
          <w:sz w:val="28"/>
          <w:szCs w:val="28"/>
          <w:highlight w:val="none"/>
        </w:rPr>
        <w:t>日  期：XXX年XXX月XXX日</w:t>
      </w:r>
    </w:p>
    <w:p>
      <w:pPr>
        <w:pStyle w:val="4"/>
        <w:spacing w:line="480" w:lineRule="exact"/>
        <w:jc w:val="center"/>
        <w:rPr>
          <w:rFonts w:ascii="宋体" w:hAnsi="宋体" w:eastAsia="宋体"/>
          <w:color w:val="auto"/>
          <w:highlight w:val="none"/>
        </w:rPr>
      </w:pPr>
      <w:r>
        <w:rPr>
          <w:rFonts w:ascii="宋体" w:hAnsi="宋体"/>
          <w:color w:val="auto"/>
          <w:highlight w:val="none"/>
        </w:rPr>
        <w:br w:type="page"/>
      </w:r>
      <w:bookmarkStart w:id="323" w:name="_Toc9323"/>
      <w:bookmarkStart w:id="324" w:name="_Toc16682"/>
      <w:bookmarkStart w:id="325" w:name="_Toc13412"/>
      <w:bookmarkStart w:id="326" w:name="_Toc229"/>
      <w:bookmarkStart w:id="327" w:name="_Toc28098"/>
      <w:r>
        <w:rPr>
          <w:rFonts w:hint="eastAsia" w:ascii="楷体_GB2312" w:hAnsi="楷体_GB2312" w:eastAsia="楷体_GB2312" w:cs="楷体_GB2312"/>
          <w:color w:val="auto"/>
          <w:sz w:val="36"/>
          <w:szCs w:val="36"/>
          <w:highlight w:val="none"/>
        </w:rPr>
        <w:t>七、</w:t>
      </w:r>
      <w:bookmarkStart w:id="328" w:name="_Hlk92897664"/>
      <w:r>
        <w:rPr>
          <w:rFonts w:hint="eastAsia" w:ascii="楷体_GB2312" w:hAnsi="楷体_GB2312" w:eastAsia="楷体_GB2312" w:cs="楷体_GB2312"/>
          <w:color w:val="auto"/>
          <w:sz w:val="36"/>
          <w:szCs w:val="36"/>
          <w:highlight w:val="none"/>
        </w:rPr>
        <w:t>已标价工程量清单</w:t>
      </w:r>
      <w:bookmarkEnd w:id="323"/>
      <w:bookmarkEnd w:id="324"/>
      <w:bookmarkEnd w:id="325"/>
      <w:bookmarkEnd w:id="326"/>
      <w:bookmarkEnd w:id="327"/>
    </w:p>
    <w:p>
      <w:pPr>
        <w:adjustRightInd w:val="0"/>
        <w:snapToGrid w:val="0"/>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1.已标价工程量清单仅适用于采用项目单价报价，不适用于采用项目包干价报价；</w:t>
      </w:r>
    </w:p>
    <w:p>
      <w:pPr>
        <w:adjustRightInd w:val="0"/>
        <w:snapToGrid w:val="0"/>
        <w:spacing w:line="480" w:lineRule="exact"/>
        <w:ind w:firstLine="560" w:firstLineChars="200"/>
        <w:rPr>
          <w:rFonts w:ascii="宋体" w:hAnsi="宋体" w:cs="宋体"/>
          <w:color w:val="auto"/>
          <w:sz w:val="24"/>
          <w:szCs w:val="32"/>
          <w:highlight w:val="none"/>
        </w:rPr>
      </w:pPr>
      <w:r>
        <w:rPr>
          <w:rFonts w:hint="eastAsia" w:ascii="仿宋_GB2312" w:hAnsi="仿宋_GB2312" w:eastAsia="仿宋_GB2312" w:cs="仿宋_GB2312"/>
          <w:color w:val="auto"/>
          <w:sz w:val="28"/>
          <w:szCs w:val="28"/>
          <w:highlight w:val="none"/>
        </w:rPr>
        <w:t>2.已标价工程量清单应按工程量清单报价相关要求进行填报。</w:t>
      </w:r>
    </w:p>
    <w:p>
      <w:pPr>
        <w:pStyle w:val="4"/>
        <w:spacing w:line="360" w:lineRule="auto"/>
        <w:jc w:val="center"/>
        <w:rPr>
          <w:rFonts w:ascii="宋体" w:hAnsi="宋体" w:eastAsia="宋体"/>
          <w:b w:val="0"/>
          <w:color w:val="auto"/>
          <w:highlight w:val="none"/>
        </w:rPr>
      </w:pPr>
      <w:r>
        <w:rPr>
          <w:rFonts w:ascii="宋体" w:hAnsi="宋体" w:eastAsia="宋体"/>
          <w:color w:val="auto"/>
          <w:highlight w:val="none"/>
        </w:rPr>
        <w:br w:type="page"/>
      </w:r>
      <w:bookmarkStart w:id="329" w:name="_Toc4864"/>
      <w:bookmarkStart w:id="330" w:name="_Toc27682"/>
      <w:bookmarkStart w:id="331" w:name="_Toc26526"/>
      <w:bookmarkStart w:id="332" w:name="_Toc7016"/>
      <w:bookmarkStart w:id="333" w:name="_Toc16314"/>
      <w:r>
        <w:rPr>
          <w:rFonts w:hint="eastAsia" w:ascii="楷体_GB2312" w:hAnsi="楷体_GB2312" w:eastAsia="楷体_GB2312" w:cs="楷体_GB2312"/>
          <w:color w:val="auto"/>
          <w:sz w:val="36"/>
          <w:szCs w:val="36"/>
          <w:highlight w:val="none"/>
        </w:rPr>
        <w:t>八、施工组织设计（实施方案）</w:t>
      </w:r>
      <w:bookmarkEnd w:id="329"/>
      <w:bookmarkEnd w:id="330"/>
      <w:bookmarkEnd w:id="331"/>
      <w:bookmarkEnd w:id="332"/>
      <w:bookmarkEnd w:id="333"/>
    </w:p>
    <w:bookmarkEnd w:id="328"/>
    <w:p>
      <w:pPr>
        <w:spacing w:line="480" w:lineRule="exact"/>
        <w:ind w:firstLine="560" w:firstLineChars="200"/>
        <w:rPr>
          <w:rFonts w:ascii="宋体" w:hAnsi="宋体"/>
          <w:color w:val="auto"/>
          <w:sz w:val="32"/>
          <w:szCs w:val="32"/>
          <w:highlight w:val="none"/>
        </w:rPr>
      </w:pPr>
      <w:bookmarkStart w:id="334" w:name="_Toc45195313"/>
      <w:bookmarkStart w:id="335" w:name="_Toc47099034"/>
      <w:bookmarkStart w:id="336" w:name="_Toc45114443"/>
      <w:bookmarkStart w:id="337" w:name="_Toc45114636"/>
      <w:r>
        <w:rPr>
          <w:rFonts w:hint="eastAsia" w:ascii="仿宋_GB2312" w:hAnsi="仿宋_GB2312" w:eastAsia="仿宋_GB2312" w:cs="仿宋_GB2312"/>
          <w:color w:val="auto"/>
          <w:sz w:val="28"/>
          <w:szCs w:val="28"/>
          <w:highlight w:val="none"/>
        </w:rPr>
        <w:t>施工组织设计（实施方案）格式及内容自拟。</w:t>
      </w:r>
      <w:bookmarkEnd w:id="334"/>
      <w:bookmarkEnd w:id="335"/>
      <w:bookmarkEnd w:id="336"/>
      <w:bookmarkEnd w:id="337"/>
      <w:bookmarkStart w:id="338" w:name="_Toc436820889"/>
      <w:bookmarkStart w:id="339" w:name="_Toc436404119"/>
      <w:bookmarkStart w:id="340" w:name="_Toc436410128"/>
      <w:bookmarkStart w:id="341" w:name="_Toc436385991"/>
      <w:bookmarkStart w:id="342" w:name="_Toc428777949"/>
      <w:bookmarkStart w:id="343" w:name="_Toc427141347"/>
      <w:r>
        <w:rPr>
          <w:rFonts w:hint="eastAsia" w:ascii="仿宋_GB2312" w:hAnsi="仿宋_GB2312" w:eastAsia="仿宋_GB2312" w:cs="仿宋_GB2312"/>
          <w:color w:val="auto"/>
          <w:sz w:val="28"/>
          <w:szCs w:val="28"/>
          <w:highlight w:val="none"/>
        </w:rPr>
        <w:t xml:space="preserve"> </w:t>
      </w:r>
    </w:p>
    <w:bookmarkEnd w:id="338"/>
    <w:bookmarkEnd w:id="339"/>
    <w:bookmarkEnd w:id="340"/>
    <w:bookmarkEnd w:id="341"/>
    <w:bookmarkEnd w:id="342"/>
    <w:bookmarkEnd w:id="343"/>
    <w:p>
      <w:pPr>
        <w:pStyle w:val="12"/>
        <w:spacing w:line="360" w:lineRule="auto"/>
        <w:ind w:firstLine="480"/>
        <w:rPr>
          <w:rFonts w:ascii="宋体" w:hAnsi="宋体"/>
          <w:color w:val="auto"/>
          <w:sz w:val="24"/>
          <w:highlight w:val="none"/>
        </w:rPr>
      </w:pPr>
    </w:p>
    <w:p>
      <w:pPr>
        <w:spacing w:line="360" w:lineRule="auto"/>
        <w:rPr>
          <w:rFonts w:ascii="宋体" w:hAnsi="宋体"/>
          <w:b/>
          <w:bCs/>
          <w:color w:val="auto"/>
          <w:sz w:val="28"/>
          <w:szCs w:val="28"/>
          <w:highlight w:val="none"/>
        </w:rPr>
        <w:sectPr>
          <w:pgSz w:w="11906" w:h="16838"/>
          <w:pgMar w:top="1440" w:right="1797" w:bottom="1440" w:left="1797" w:header="850" w:footer="992" w:gutter="0"/>
          <w:pgBorders>
            <w:top w:val="none" w:sz="0" w:space="0"/>
            <w:left w:val="none" w:sz="0" w:space="0"/>
            <w:bottom w:val="none" w:sz="0" w:space="0"/>
            <w:right w:val="none" w:sz="0" w:space="0"/>
          </w:pgBorders>
          <w:pgNumType w:fmt="decimal"/>
          <w:cols w:space="0" w:num="1"/>
          <w:docGrid w:linePitch="312" w:charSpace="0"/>
        </w:sectPr>
      </w:pPr>
    </w:p>
    <w:p>
      <w:pPr>
        <w:pStyle w:val="4"/>
        <w:spacing w:line="480" w:lineRule="exact"/>
        <w:jc w:val="center"/>
        <w:rPr>
          <w:rFonts w:ascii="楷体_GB2312" w:hAnsi="楷体_GB2312" w:eastAsia="楷体_GB2312" w:cs="楷体_GB2312"/>
          <w:color w:val="auto"/>
          <w:sz w:val="36"/>
          <w:szCs w:val="36"/>
          <w:highlight w:val="none"/>
        </w:rPr>
      </w:pPr>
      <w:bookmarkStart w:id="344" w:name="_Toc314"/>
      <w:bookmarkStart w:id="345" w:name="_Toc5223"/>
      <w:bookmarkStart w:id="346" w:name="_Toc1088"/>
      <w:bookmarkStart w:id="347" w:name="_Toc16529"/>
      <w:bookmarkStart w:id="348" w:name="_Toc96761129"/>
      <w:bookmarkStart w:id="349" w:name="_Toc12743"/>
      <w:r>
        <w:rPr>
          <w:rFonts w:hint="eastAsia" w:ascii="楷体_GB2312" w:hAnsi="楷体_GB2312" w:eastAsia="楷体_GB2312" w:cs="楷体_GB2312"/>
          <w:color w:val="auto"/>
          <w:sz w:val="36"/>
          <w:szCs w:val="36"/>
          <w:highlight w:val="none"/>
        </w:rPr>
        <w:t>九、供应商类似项目业绩一览表</w:t>
      </w:r>
      <w:bookmarkEnd w:id="344"/>
      <w:bookmarkEnd w:id="345"/>
      <w:bookmarkEnd w:id="346"/>
      <w:bookmarkEnd w:id="347"/>
      <w:bookmarkEnd w:id="348"/>
      <w:bookmarkEnd w:id="349"/>
    </w:p>
    <w:tbl>
      <w:tblPr>
        <w:tblStyle w:val="32"/>
        <w:tblW w:w="9230" w:type="dxa"/>
        <w:jc w:val="center"/>
        <w:tblLayout w:type="fixed"/>
        <w:tblCellMar>
          <w:top w:w="0" w:type="dxa"/>
          <w:left w:w="108" w:type="dxa"/>
          <w:bottom w:w="0" w:type="dxa"/>
          <w:right w:w="108" w:type="dxa"/>
        </w:tblCellMar>
      </w:tblPr>
      <w:tblGrid>
        <w:gridCol w:w="658"/>
        <w:gridCol w:w="1417"/>
        <w:gridCol w:w="1364"/>
        <w:gridCol w:w="1470"/>
        <w:gridCol w:w="1277"/>
        <w:gridCol w:w="1133"/>
        <w:gridCol w:w="1224"/>
        <w:gridCol w:w="687"/>
      </w:tblGrid>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项目业主</w:t>
            </w:r>
          </w:p>
        </w:tc>
        <w:tc>
          <w:tcPr>
            <w:tcW w:w="13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项目名称</w:t>
            </w:r>
          </w:p>
        </w:tc>
        <w:tc>
          <w:tcPr>
            <w:tcW w:w="14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开工日期</w:t>
            </w:r>
          </w:p>
        </w:tc>
        <w:tc>
          <w:tcPr>
            <w:tcW w:w="127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建设规模</w:t>
            </w:r>
          </w:p>
        </w:tc>
        <w:tc>
          <w:tcPr>
            <w:tcW w:w="122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合同价格（元）</w:t>
            </w:r>
          </w:p>
        </w:tc>
        <w:tc>
          <w:tcPr>
            <w:tcW w:w="68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备注</w:t>
            </w:r>
          </w:p>
        </w:tc>
      </w:tr>
      <w:tr>
        <w:tblPrEx>
          <w:tblCellMar>
            <w:top w:w="0" w:type="dxa"/>
            <w:left w:w="108" w:type="dxa"/>
            <w:bottom w:w="0" w:type="dxa"/>
            <w:right w:w="108" w:type="dxa"/>
          </w:tblCellMar>
        </w:tblPrEx>
        <w:trPr>
          <w:trHeight w:val="601"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3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4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1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2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687" w:type="dxa"/>
            <w:tcBorders>
              <w:top w:val="single" w:color="auto" w:sz="4" w:space="0"/>
              <w:left w:val="nil"/>
              <w:bottom w:val="single" w:color="auto" w:sz="4" w:space="0"/>
              <w:right w:val="single" w:color="auto" w:sz="4" w:space="0"/>
            </w:tcBorders>
          </w:tcPr>
          <w:p>
            <w:pPr>
              <w:widowControl/>
              <w:spacing w:line="400" w:lineRule="exact"/>
              <w:jc w:val="center"/>
              <w:rPr>
                <w:rFonts w:ascii="仿宋_GB2312" w:hAnsi="仿宋_GB2312" w:eastAsia="仿宋_GB2312" w:cs="仿宋_GB2312"/>
                <w:color w:val="auto"/>
                <w:kern w:val="0"/>
                <w:sz w:val="24"/>
                <w:highlight w:val="none"/>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3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4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1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2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687" w:type="dxa"/>
            <w:tcBorders>
              <w:top w:val="single" w:color="auto" w:sz="4" w:space="0"/>
              <w:left w:val="nil"/>
              <w:bottom w:val="single" w:color="auto" w:sz="4" w:space="0"/>
              <w:right w:val="single" w:color="auto" w:sz="4" w:space="0"/>
            </w:tcBorders>
          </w:tcPr>
          <w:p>
            <w:pPr>
              <w:widowControl/>
              <w:spacing w:line="400" w:lineRule="exact"/>
              <w:jc w:val="center"/>
              <w:rPr>
                <w:rFonts w:ascii="仿宋_GB2312" w:hAnsi="仿宋_GB2312" w:eastAsia="仿宋_GB2312" w:cs="仿宋_GB2312"/>
                <w:color w:val="auto"/>
                <w:kern w:val="0"/>
                <w:sz w:val="24"/>
                <w:highlight w:val="none"/>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3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4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1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2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687" w:type="dxa"/>
            <w:tcBorders>
              <w:top w:val="single" w:color="auto" w:sz="4" w:space="0"/>
              <w:left w:val="nil"/>
              <w:bottom w:val="single" w:color="auto" w:sz="4" w:space="0"/>
              <w:right w:val="single" w:color="auto" w:sz="4" w:space="0"/>
            </w:tcBorders>
          </w:tcPr>
          <w:p>
            <w:pPr>
              <w:widowControl/>
              <w:spacing w:line="400" w:lineRule="exact"/>
              <w:jc w:val="center"/>
              <w:rPr>
                <w:rFonts w:ascii="仿宋_GB2312" w:hAnsi="仿宋_GB2312" w:eastAsia="仿宋_GB2312" w:cs="仿宋_GB2312"/>
                <w:color w:val="auto"/>
                <w:kern w:val="0"/>
                <w:sz w:val="24"/>
                <w:highlight w:val="none"/>
              </w:rPr>
            </w:pPr>
          </w:p>
        </w:tc>
      </w:tr>
      <w:tr>
        <w:tblPrEx>
          <w:tblCellMar>
            <w:top w:w="0" w:type="dxa"/>
            <w:left w:w="108" w:type="dxa"/>
            <w:bottom w:w="0" w:type="dxa"/>
            <w:right w:w="108" w:type="dxa"/>
          </w:tblCellMar>
        </w:tblPrEx>
        <w:trPr>
          <w:trHeight w:val="537"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36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4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7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13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122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auto"/>
                <w:kern w:val="0"/>
                <w:sz w:val="24"/>
                <w:highlight w:val="none"/>
              </w:rPr>
            </w:pPr>
          </w:p>
        </w:tc>
        <w:tc>
          <w:tcPr>
            <w:tcW w:w="687" w:type="dxa"/>
            <w:tcBorders>
              <w:top w:val="single" w:color="auto" w:sz="4" w:space="0"/>
              <w:left w:val="nil"/>
              <w:bottom w:val="single" w:color="auto" w:sz="4" w:space="0"/>
              <w:right w:val="single" w:color="auto" w:sz="4" w:space="0"/>
            </w:tcBorders>
          </w:tcPr>
          <w:p>
            <w:pPr>
              <w:widowControl/>
              <w:spacing w:line="400" w:lineRule="exact"/>
              <w:jc w:val="center"/>
              <w:rPr>
                <w:rFonts w:ascii="仿宋_GB2312" w:hAnsi="仿宋_GB2312" w:eastAsia="仿宋_GB2312" w:cs="仿宋_GB2312"/>
                <w:color w:val="auto"/>
                <w:kern w:val="0"/>
                <w:sz w:val="24"/>
                <w:highlight w:val="none"/>
              </w:rPr>
            </w:pPr>
          </w:p>
        </w:tc>
      </w:tr>
    </w:tbl>
    <w:p>
      <w:pPr>
        <w:spacing w:line="360" w:lineRule="auto"/>
        <w:rPr>
          <w:rFonts w:ascii="宋体" w:hAnsi="宋体" w:cs="Arial"/>
          <w:color w:val="auto"/>
          <w:sz w:val="24"/>
          <w:highlight w:val="none"/>
        </w:rPr>
      </w:pPr>
    </w:p>
    <w:p>
      <w:pPr>
        <w:tabs>
          <w:tab w:val="left" w:pos="555"/>
          <w:tab w:val="left" w:pos="2214"/>
          <w:tab w:val="left" w:pos="3774"/>
          <w:tab w:val="left" w:pos="4854"/>
          <w:tab w:val="left" w:pos="5934"/>
          <w:tab w:val="left" w:pos="7014"/>
          <w:tab w:val="left" w:pos="8214"/>
          <w:tab w:val="left" w:pos="10134"/>
          <w:tab w:val="left" w:pos="11124"/>
        </w:tabs>
        <w:spacing w:line="480" w:lineRule="exact"/>
        <w:ind w:firstLine="482" w:firstLineChars="200"/>
        <w:rPr>
          <w:rFonts w:ascii="宋体" w:hAnsi="宋体" w:cs="Arial"/>
          <w:color w:val="auto"/>
          <w:highlight w:val="none"/>
        </w:rPr>
      </w:pPr>
      <w:r>
        <w:rPr>
          <w:rFonts w:hint="eastAsia" w:ascii="仿宋_GB2312" w:hAnsi="仿宋_GB2312" w:eastAsia="仿宋_GB2312" w:cs="仿宋_GB2312"/>
          <w:b/>
          <w:bCs/>
          <w:color w:val="auto"/>
          <w:sz w:val="24"/>
          <w:highlight w:val="none"/>
        </w:rPr>
        <w:t>注：</w:t>
      </w:r>
      <w:r>
        <w:rPr>
          <w:rFonts w:hint="eastAsia" w:ascii="仿宋_GB2312" w:hAnsi="仿宋_GB2312" w:eastAsia="仿宋_GB2312" w:cs="仿宋_GB2312"/>
          <w:color w:val="auto"/>
          <w:sz w:val="24"/>
          <w:highlight w:val="none"/>
        </w:rPr>
        <w:t>供应商（仅限于供应商自己的）以上业绩需提供有关书面证明材料。</w:t>
      </w:r>
    </w:p>
    <w:p>
      <w:pPr>
        <w:spacing w:line="360" w:lineRule="auto"/>
        <w:ind w:left="360"/>
        <w:jc w:val="center"/>
        <w:rPr>
          <w:rFonts w:ascii="宋体" w:hAnsi="宋体" w:cs="Arial"/>
          <w:color w:val="auto"/>
          <w:sz w:val="24"/>
          <w:highlight w:val="none"/>
        </w:rPr>
      </w:pPr>
    </w:p>
    <w:p>
      <w:pPr>
        <w:spacing w:line="360" w:lineRule="auto"/>
        <w:jc w:val="left"/>
        <w:rPr>
          <w:rFonts w:ascii="宋体" w:hAnsi="宋体" w:cs="Arial"/>
          <w:color w:val="auto"/>
          <w:highlight w:val="none"/>
        </w:rPr>
      </w:pPr>
    </w:p>
    <w:p>
      <w:pPr>
        <w:spacing w:line="48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供应商名称：XXXX（盖单位公章）</w:t>
      </w:r>
    </w:p>
    <w:p>
      <w:pPr>
        <w:spacing w:line="48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法定代表人或授权代表（签字或盖章）：XXXX</w:t>
      </w:r>
    </w:p>
    <w:p>
      <w:pPr>
        <w:spacing w:line="480" w:lineRule="exact"/>
        <w:ind w:firstLine="560" w:firstLineChars="200"/>
        <w:jc w:val="left"/>
        <w:rPr>
          <w:rFonts w:ascii="宋体" w:hAnsi="宋体"/>
          <w:color w:val="auto"/>
          <w:sz w:val="24"/>
          <w:highlight w:val="none"/>
        </w:rPr>
      </w:pPr>
      <w:r>
        <w:rPr>
          <w:rFonts w:hint="eastAsia" w:ascii="仿宋_GB2312" w:hAnsi="仿宋_GB2312" w:eastAsia="仿宋_GB2312" w:cs="仿宋_GB2312"/>
          <w:color w:val="auto"/>
          <w:sz w:val="28"/>
          <w:szCs w:val="28"/>
          <w:highlight w:val="none"/>
        </w:rPr>
        <w:t>日期：XXXX</w:t>
      </w:r>
    </w:p>
    <w:p>
      <w:pPr>
        <w:spacing w:line="360" w:lineRule="auto"/>
        <w:jc w:val="left"/>
        <w:rPr>
          <w:rFonts w:ascii="宋体" w:hAnsi="宋体"/>
          <w:color w:val="auto"/>
          <w:sz w:val="24"/>
          <w:highlight w:val="none"/>
        </w:rPr>
      </w:pPr>
    </w:p>
    <w:p>
      <w:pPr>
        <w:spacing w:before="260" w:line="480" w:lineRule="exact"/>
        <w:jc w:val="center"/>
        <w:outlineLvl w:val="1"/>
        <w:rPr>
          <w:rFonts w:ascii="宋体" w:hAnsi="宋体"/>
          <w:b/>
          <w:bCs/>
          <w:color w:val="auto"/>
          <w:sz w:val="32"/>
          <w:szCs w:val="32"/>
          <w:highlight w:val="none"/>
        </w:rPr>
      </w:pPr>
      <w:r>
        <w:rPr>
          <w:rFonts w:ascii="宋体" w:hAnsi="宋体" w:cs="仿宋"/>
          <w:b/>
          <w:bCs/>
          <w:color w:val="auto"/>
          <w:sz w:val="32"/>
          <w:szCs w:val="32"/>
          <w:highlight w:val="none"/>
        </w:rPr>
        <w:br w:type="page"/>
      </w:r>
      <w:bookmarkStart w:id="350" w:name="_Toc16920"/>
      <w:bookmarkStart w:id="351" w:name="_Toc26404"/>
      <w:r>
        <w:rPr>
          <w:rFonts w:hint="eastAsia" w:ascii="楷体_GB2312" w:hAnsi="楷体_GB2312" w:eastAsia="楷体_GB2312" w:cs="楷体_GB2312"/>
          <w:b/>
          <w:bCs/>
          <w:color w:val="auto"/>
          <w:sz w:val="36"/>
          <w:szCs w:val="36"/>
          <w:highlight w:val="none"/>
        </w:rPr>
        <w:t>十、供应商类似项目业绩情况表</w:t>
      </w:r>
      <w:bookmarkEnd w:id="350"/>
      <w:bookmarkEnd w:id="351"/>
    </w:p>
    <w:p>
      <w:pPr>
        <w:spacing w:line="360" w:lineRule="auto"/>
        <w:rPr>
          <w:rFonts w:ascii="宋体" w:hAnsi="宋体"/>
          <w:color w:val="auto"/>
          <w:sz w:val="24"/>
          <w:highlight w:val="none"/>
        </w:rPr>
      </w:pPr>
    </w:p>
    <w:tbl>
      <w:tblPr>
        <w:tblStyle w:val="32"/>
        <w:tblW w:w="10071" w:type="dxa"/>
        <w:jc w:val="center"/>
        <w:tblLayout w:type="fixed"/>
        <w:tblCellMar>
          <w:top w:w="0" w:type="dxa"/>
          <w:left w:w="108" w:type="dxa"/>
          <w:bottom w:w="0" w:type="dxa"/>
          <w:right w:w="108" w:type="dxa"/>
        </w:tblCellMar>
      </w:tblPr>
      <w:tblGrid>
        <w:gridCol w:w="677"/>
        <w:gridCol w:w="9394"/>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9394"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color w:val="auto"/>
                <w:sz w:val="24"/>
                <w:highlight w:val="none"/>
              </w:rPr>
            </w:pPr>
          </w:p>
        </w:tc>
        <w:tc>
          <w:tcPr>
            <w:tcW w:w="9394"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color w:val="auto"/>
                <w:sz w:val="24"/>
                <w:highlight w:val="none"/>
              </w:rPr>
            </w:pPr>
          </w:p>
        </w:tc>
        <w:tc>
          <w:tcPr>
            <w:tcW w:w="9394" w:type="dxa"/>
            <w:tcBorders>
              <w:top w:val="single" w:color="auto" w:sz="4" w:space="0"/>
              <w:left w:val="nil"/>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color w:val="auto"/>
                <w:sz w:val="24"/>
                <w:highlight w:val="none"/>
              </w:rPr>
            </w:pPr>
          </w:p>
        </w:tc>
        <w:tc>
          <w:tcPr>
            <w:tcW w:w="9394" w:type="dxa"/>
            <w:tcBorders>
              <w:top w:val="single" w:color="auto" w:sz="4" w:space="0"/>
              <w:left w:val="nil"/>
              <w:bottom w:val="single" w:color="auto" w:sz="4" w:space="0"/>
              <w:right w:val="single" w:color="auto" w:sz="4" w:space="0"/>
            </w:tcBorders>
            <w:vAlign w:val="center"/>
          </w:tcPr>
          <w:p>
            <w:pPr>
              <w:spacing w:line="400" w:lineRule="exact"/>
              <w:ind w:left="7" w:leftChars="-10" w:hanging="28" w:hangingChars="1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939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939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939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939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939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9394" w:type="dxa"/>
            <w:tcBorders>
              <w:top w:val="single" w:color="auto" w:sz="4" w:space="0"/>
              <w:left w:val="nil"/>
              <w:bottom w:val="single" w:color="auto" w:sz="4" w:space="0"/>
              <w:right w:val="single" w:color="auto" w:sz="4" w:space="0"/>
            </w:tcBorders>
            <w:vAlign w:val="center"/>
          </w:tcPr>
          <w:p>
            <w:pPr>
              <w:spacing w:line="4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9394" w:type="dxa"/>
            <w:tcBorders>
              <w:top w:val="single" w:color="auto" w:sz="4" w:space="0"/>
              <w:left w:val="nil"/>
              <w:bottom w:val="single" w:color="auto" w:sz="4" w:space="0"/>
              <w:right w:val="single" w:color="auto" w:sz="4" w:space="0"/>
            </w:tcBorders>
            <w:vAlign w:val="center"/>
          </w:tcPr>
          <w:p>
            <w:pPr>
              <w:spacing w:line="400" w:lineRule="exact"/>
              <w:ind w:left="7" w:leftChars="-10" w:hanging="28" w:hangingChars="1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9394" w:type="dxa"/>
            <w:tcBorders>
              <w:top w:val="single" w:color="auto" w:sz="4" w:space="0"/>
              <w:left w:val="nil"/>
              <w:bottom w:val="single" w:color="auto" w:sz="4" w:space="0"/>
              <w:right w:val="single" w:color="auto" w:sz="4" w:space="0"/>
            </w:tcBorders>
            <w:vAlign w:val="center"/>
          </w:tcPr>
          <w:p>
            <w:pPr>
              <w:spacing w:line="400" w:lineRule="exact"/>
              <w:ind w:left="7" w:leftChars="-10" w:hanging="28" w:hangingChars="12"/>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w:t>
            </w:r>
          </w:p>
        </w:tc>
      </w:tr>
    </w:tbl>
    <w:p>
      <w:pPr>
        <w:autoSpaceDE w:val="0"/>
        <w:autoSpaceDN w:val="0"/>
        <w:adjustRightInd w:val="0"/>
        <w:snapToGrid w:val="0"/>
        <w:spacing w:line="360" w:lineRule="auto"/>
        <w:jc w:val="left"/>
        <w:rPr>
          <w:rFonts w:ascii="宋体" w:hAnsi="宋体"/>
          <w:color w:val="auto"/>
          <w:sz w:val="24"/>
          <w:highlight w:val="none"/>
        </w:rPr>
      </w:pPr>
    </w:p>
    <w:p>
      <w:pPr>
        <w:autoSpaceDE w:val="0"/>
        <w:autoSpaceDN w:val="0"/>
        <w:spacing w:line="400" w:lineRule="exact"/>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注：</w:t>
      </w:r>
      <w:r>
        <w:rPr>
          <w:rFonts w:hint="eastAsia" w:ascii="仿宋_GB2312" w:hAnsi="仿宋_GB2312" w:eastAsia="仿宋_GB2312" w:cs="仿宋_GB2312"/>
          <w:color w:val="auto"/>
          <w:sz w:val="24"/>
          <w:highlight w:val="none"/>
        </w:rPr>
        <w:t>1.每个业绩项目单独填表并编号，应按要求填报工程业绩表并附相关有效证明材料，盖章方式不作要求。</w:t>
      </w:r>
    </w:p>
    <w:p>
      <w:pPr>
        <w:spacing w:line="400" w:lineRule="exact"/>
        <w:ind w:firstLine="480" w:firstLineChars="200"/>
        <w:rPr>
          <w:rFonts w:ascii="宋体" w:hAnsi="宋体"/>
          <w:color w:val="auto"/>
          <w:sz w:val="24"/>
          <w:highlight w:val="none"/>
        </w:rPr>
      </w:pPr>
      <w:r>
        <w:rPr>
          <w:rFonts w:hint="eastAsia" w:ascii="仿宋_GB2312" w:hAnsi="仿宋_GB2312" w:eastAsia="仿宋_GB2312" w:cs="仿宋_GB2312"/>
          <w:color w:val="auto"/>
          <w:sz w:val="24"/>
          <w:highlight w:val="none"/>
        </w:rPr>
        <w:t>2.表中所有空格内容均须填写，如确实不须填写或无法填写，应在空格中填写“无”。</w:t>
      </w:r>
    </w:p>
    <w:p>
      <w:pPr>
        <w:pStyle w:val="4"/>
        <w:spacing w:line="480" w:lineRule="exact"/>
        <w:jc w:val="center"/>
        <w:rPr>
          <w:rFonts w:ascii="宋体" w:hAnsi="宋体"/>
          <w:color w:val="auto"/>
          <w:highlight w:val="none"/>
        </w:rPr>
      </w:pPr>
      <w:r>
        <w:rPr>
          <w:rFonts w:ascii="宋体" w:hAnsi="宋体"/>
          <w:b w:val="0"/>
          <w:color w:val="auto"/>
          <w:highlight w:val="none"/>
        </w:rPr>
        <w:br w:type="page"/>
      </w:r>
      <w:bookmarkStart w:id="352" w:name="_Toc96761130"/>
      <w:bookmarkStart w:id="353" w:name="_Toc24597"/>
      <w:bookmarkStart w:id="354" w:name="_Toc3439"/>
      <w:bookmarkStart w:id="355" w:name="_Toc12622"/>
      <w:bookmarkStart w:id="356" w:name="_Toc26556"/>
      <w:bookmarkStart w:id="357" w:name="_Toc17599"/>
      <w:r>
        <w:rPr>
          <w:rFonts w:hint="eastAsia" w:ascii="楷体_GB2312" w:hAnsi="楷体_GB2312" w:eastAsia="楷体_GB2312" w:cs="楷体_GB2312"/>
          <w:color w:val="auto"/>
          <w:sz w:val="36"/>
          <w:szCs w:val="36"/>
          <w:highlight w:val="none"/>
        </w:rPr>
        <w:t>十一、</w:t>
      </w:r>
      <w:bookmarkEnd w:id="352"/>
      <w:r>
        <w:rPr>
          <w:rFonts w:hint="eastAsia" w:ascii="楷体_GB2312" w:hAnsi="楷体_GB2312" w:eastAsia="楷体_GB2312" w:cs="楷体_GB2312"/>
          <w:color w:val="auto"/>
          <w:sz w:val="36"/>
          <w:szCs w:val="36"/>
          <w:highlight w:val="none"/>
        </w:rPr>
        <w:t>项目管理机构</w:t>
      </w:r>
      <w:bookmarkEnd w:id="353"/>
      <w:bookmarkEnd w:id="354"/>
      <w:bookmarkEnd w:id="355"/>
      <w:bookmarkEnd w:id="356"/>
      <w:bookmarkEnd w:id="357"/>
    </w:p>
    <w:p>
      <w:pPr>
        <w:spacing w:line="360" w:lineRule="auto"/>
        <w:jc w:val="center"/>
        <w:rPr>
          <w:rFonts w:hint="eastAsia" w:ascii="仿宋_GB2312" w:hAnsi="仿宋_GB2312" w:eastAsia="仿宋_GB2312" w:cs="仿宋_GB2312"/>
          <w:b/>
          <w:bCs/>
          <w:color w:val="auto"/>
          <w:sz w:val="28"/>
          <w:szCs w:val="28"/>
          <w:highlight w:val="none"/>
        </w:rPr>
      </w:pPr>
    </w:p>
    <w:p>
      <w:pPr>
        <w:spacing w:line="360" w:lineRule="auto"/>
        <w:jc w:val="center"/>
        <w:rPr>
          <w:rFonts w:ascii="宋体" w:hAnsi="宋体"/>
          <w:color w:val="auto"/>
          <w:sz w:val="32"/>
          <w:szCs w:val="32"/>
          <w:highlight w:val="none"/>
        </w:rPr>
      </w:pPr>
      <w:r>
        <w:rPr>
          <w:rFonts w:hint="eastAsia" w:ascii="仿宋_GB2312" w:hAnsi="仿宋_GB2312" w:eastAsia="仿宋_GB2312" w:cs="仿宋_GB2312"/>
          <w:b/>
          <w:bCs/>
          <w:color w:val="auto"/>
          <w:sz w:val="28"/>
          <w:szCs w:val="28"/>
          <w:highlight w:val="none"/>
        </w:rPr>
        <w:t>（一）项目管理机构组成表</w:t>
      </w:r>
    </w:p>
    <w:tbl>
      <w:tblPr>
        <w:tblStyle w:val="32"/>
        <w:tblW w:w="10012" w:type="dxa"/>
        <w:jc w:val="center"/>
        <w:tblLayout w:type="fixed"/>
        <w:tblCellMar>
          <w:top w:w="0" w:type="dxa"/>
          <w:left w:w="0" w:type="dxa"/>
          <w:bottom w:w="0" w:type="dxa"/>
          <w:right w:w="0" w:type="dxa"/>
        </w:tblCellMar>
      </w:tblPr>
      <w:tblGrid>
        <w:gridCol w:w="787"/>
        <w:gridCol w:w="2013"/>
        <w:gridCol w:w="1821"/>
        <w:gridCol w:w="1276"/>
        <w:gridCol w:w="1613"/>
        <w:gridCol w:w="1283"/>
        <w:gridCol w:w="1219"/>
      </w:tblGrid>
      <w:tr>
        <w:tblPrEx>
          <w:tblCellMar>
            <w:top w:w="0" w:type="dxa"/>
            <w:left w:w="0" w:type="dxa"/>
            <w:bottom w:w="0" w:type="dxa"/>
            <w:right w:w="0" w:type="dxa"/>
          </w:tblCellMar>
        </w:tblPrEx>
        <w:trPr>
          <w:trHeight w:val="614" w:hRule="atLeast"/>
          <w:jc w:val="center"/>
        </w:trPr>
        <w:tc>
          <w:tcPr>
            <w:tcW w:w="787"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序号</w:t>
            </w:r>
          </w:p>
        </w:tc>
        <w:tc>
          <w:tcPr>
            <w:tcW w:w="2013" w:type="dxa"/>
            <w:vMerge w:val="restart"/>
            <w:tcBorders>
              <w:top w:val="single" w:color="auto" w:sz="4" w:space="0"/>
              <w:left w:val="nil"/>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职务</w:t>
            </w:r>
          </w:p>
        </w:tc>
        <w:tc>
          <w:tcPr>
            <w:tcW w:w="1821" w:type="dxa"/>
            <w:vMerge w:val="restart"/>
            <w:tcBorders>
              <w:top w:val="single" w:color="auto" w:sz="4" w:space="0"/>
              <w:left w:val="nil"/>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姓名</w:t>
            </w:r>
          </w:p>
        </w:tc>
        <w:tc>
          <w:tcPr>
            <w:tcW w:w="2889"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执业或职业资格</w:t>
            </w:r>
          </w:p>
        </w:tc>
        <w:tc>
          <w:tcPr>
            <w:tcW w:w="2502"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职称</w:t>
            </w:r>
          </w:p>
        </w:tc>
      </w:tr>
      <w:tr>
        <w:tblPrEx>
          <w:tblCellMar>
            <w:top w:w="0" w:type="dxa"/>
            <w:left w:w="0" w:type="dxa"/>
            <w:bottom w:w="0" w:type="dxa"/>
            <w:right w:w="0" w:type="dxa"/>
          </w:tblCellMar>
        </w:tblPrEx>
        <w:trPr>
          <w:trHeight w:val="614" w:hRule="atLeast"/>
          <w:jc w:val="center"/>
        </w:trPr>
        <w:tc>
          <w:tcPr>
            <w:tcW w:w="78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2013" w:type="dxa"/>
            <w:vMerge w:val="continue"/>
            <w:tcBorders>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821" w:type="dxa"/>
            <w:vMerge w:val="continue"/>
            <w:tcBorders>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证书名称</w:t>
            </w:r>
          </w:p>
        </w:tc>
        <w:tc>
          <w:tcPr>
            <w:tcW w:w="16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证书编号</w:t>
            </w: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职称专业</w:t>
            </w:r>
          </w:p>
        </w:tc>
        <w:tc>
          <w:tcPr>
            <w:tcW w:w="121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级别</w:t>
            </w:r>
          </w:p>
        </w:tc>
      </w:tr>
      <w:tr>
        <w:tblPrEx>
          <w:tblCellMar>
            <w:top w:w="0" w:type="dxa"/>
            <w:left w:w="0" w:type="dxa"/>
            <w:bottom w:w="0" w:type="dxa"/>
            <w:right w:w="0" w:type="dxa"/>
          </w:tblCellMar>
        </w:tblPrEx>
        <w:trPr>
          <w:trHeight w:val="58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1</w:t>
            </w:r>
          </w:p>
        </w:tc>
        <w:tc>
          <w:tcPr>
            <w:tcW w:w="20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项目负责人</w:t>
            </w:r>
          </w:p>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（项目经理）</w:t>
            </w:r>
          </w:p>
        </w:tc>
        <w:tc>
          <w:tcPr>
            <w:tcW w:w="182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6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19"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szCs w:val="32"/>
                <w:highlight w:val="none"/>
              </w:rPr>
            </w:pPr>
          </w:p>
        </w:tc>
      </w:tr>
      <w:tr>
        <w:tblPrEx>
          <w:tblCellMar>
            <w:top w:w="0" w:type="dxa"/>
            <w:left w:w="0" w:type="dxa"/>
            <w:bottom w:w="0" w:type="dxa"/>
            <w:right w:w="0" w:type="dxa"/>
          </w:tblCellMar>
        </w:tblPrEx>
        <w:trPr>
          <w:trHeight w:val="58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2</w:t>
            </w:r>
          </w:p>
        </w:tc>
        <w:tc>
          <w:tcPr>
            <w:tcW w:w="20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项目技术负责人</w:t>
            </w:r>
          </w:p>
        </w:tc>
        <w:tc>
          <w:tcPr>
            <w:tcW w:w="182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6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19"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szCs w:val="32"/>
                <w:highlight w:val="none"/>
              </w:rPr>
            </w:pPr>
          </w:p>
        </w:tc>
      </w:tr>
      <w:tr>
        <w:tblPrEx>
          <w:tblCellMar>
            <w:top w:w="0" w:type="dxa"/>
            <w:left w:w="0" w:type="dxa"/>
            <w:bottom w:w="0" w:type="dxa"/>
            <w:right w:w="0" w:type="dxa"/>
          </w:tblCellMar>
        </w:tblPrEx>
        <w:trPr>
          <w:trHeight w:val="58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3</w:t>
            </w:r>
          </w:p>
        </w:tc>
        <w:tc>
          <w:tcPr>
            <w:tcW w:w="20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82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6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19"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szCs w:val="32"/>
                <w:highlight w:val="none"/>
              </w:rPr>
            </w:pPr>
          </w:p>
        </w:tc>
      </w:tr>
      <w:tr>
        <w:tblPrEx>
          <w:tblCellMar>
            <w:top w:w="0" w:type="dxa"/>
            <w:left w:w="0" w:type="dxa"/>
            <w:bottom w:w="0" w:type="dxa"/>
            <w:right w:w="0" w:type="dxa"/>
          </w:tblCellMar>
        </w:tblPrEx>
        <w:trPr>
          <w:trHeight w:val="58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4</w:t>
            </w:r>
          </w:p>
        </w:tc>
        <w:tc>
          <w:tcPr>
            <w:tcW w:w="20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82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6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19"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szCs w:val="32"/>
                <w:highlight w:val="none"/>
              </w:rPr>
            </w:pPr>
          </w:p>
        </w:tc>
      </w:tr>
      <w:tr>
        <w:tblPrEx>
          <w:tblCellMar>
            <w:top w:w="0" w:type="dxa"/>
            <w:left w:w="0" w:type="dxa"/>
            <w:bottom w:w="0" w:type="dxa"/>
            <w:right w:w="0" w:type="dxa"/>
          </w:tblCellMar>
        </w:tblPrEx>
        <w:trPr>
          <w:trHeight w:val="58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5</w:t>
            </w:r>
          </w:p>
        </w:tc>
        <w:tc>
          <w:tcPr>
            <w:tcW w:w="20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82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6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19"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szCs w:val="32"/>
                <w:highlight w:val="none"/>
              </w:rPr>
            </w:pPr>
          </w:p>
        </w:tc>
      </w:tr>
      <w:tr>
        <w:tblPrEx>
          <w:tblCellMar>
            <w:top w:w="0" w:type="dxa"/>
            <w:left w:w="0" w:type="dxa"/>
            <w:bottom w:w="0" w:type="dxa"/>
            <w:right w:w="0" w:type="dxa"/>
          </w:tblCellMar>
        </w:tblPrEx>
        <w:trPr>
          <w:trHeight w:val="58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w:t>
            </w:r>
          </w:p>
        </w:tc>
        <w:tc>
          <w:tcPr>
            <w:tcW w:w="20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w:t>
            </w:r>
          </w:p>
        </w:tc>
        <w:tc>
          <w:tcPr>
            <w:tcW w:w="182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61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32"/>
                <w:highlight w:val="none"/>
              </w:rPr>
            </w:pPr>
          </w:p>
        </w:tc>
        <w:tc>
          <w:tcPr>
            <w:tcW w:w="1219"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szCs w:val="32"/>
                <w:highlight w:val="none"/>
              </w:rPr>
            </w:pPr>
          </w:p>
        </w:tc>
      </w:tr>
    </w:tbl>
    <w:p>
      <w:pPr>
        <w:spacing w:line="360" w:lineRule="auto"/>
        <w:rPr>
          <w:rFonts w:ascii="仿宋_GB2312" w:hAnsi="仿宋_GB2312" w:eastAsia="仿宋_GB2312" w:cs="仿宋_GB2312"/>
          <w:color w:val="auto"/>
          <w:sz w:val="24"/>
          <w:highlight w:val="none"/>
        </w:rPr>
      </w:pPr>
    </w:p>
    <w:p>
      <w:pPr>
        <w:spacing w:line="360" w:lineRule="auto"/>
        <w:rPr>
          <w:rFonts w:ascii="仿宋_GB2312" w:hAnsi="仿宋_GB2312" w:eastAsia="仿宋_GB2312" w:cs="仿宋_GB2312"/>
          <w:color w:val="auto"/>
          <w:sz w:val="24"/>
          <w:highlight w:val="none"/>
        </w:rPr>
      </w:pP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供应商名称：XXX（盖单位公章）</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法定代表人或授权代表（签字）：XXX</w:t>
      </w:r>
    </w:p>
    <w:p>
      <w:pPr>
        <w:spacing w:line="480" w:lineRule="exact"/>
        <w:ind w:firstLine="560" w:firstLineChars="200"/>
        <w:rPr>
          <w:rFonts w:ascii="宋体" w:hAnsi="宋体"/>
          <w:color w:val="auto"/>
          <w:sz w:val="24"/>
          <w:highlight w:val="none"/>
        </w:rPr>
      </w:pPr>
      <w:r>
        <w:rPr>
          <w:rFonts w:hint="eastAsia" w:ascii="仿宋_GB2312" w:hAnsi="仿宋_GB2312" w:eastAsia="仿宋_GB2312" w:cs="仿宋_GB2312"/>
          <w:color w:val="auto"/>
          <w:sz w:val="28"/>
          <w:szCs w:val="28"/>
          <w:highlight w:val="none"/>
        </w:rPr>
        <w:t>日      期：XXX</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480" w:lineRule="exact"/>
        <w:jc w:val="center"/>
        <w:rPr>
          <w:rFonts w:ascii="宋体" w:hAnsi="宋体"/>
          <w:b/>
          <w:bCs/>
          <w:color w:val="auto"/>
          <w:sz w:val="24"/>
          <w:highlight w:val="none"/>
        </w:rPr>
      </w:pPr>
      <w:r>
        <w:rPr>
          <w:rFonts w:ascii="宋体" w:hAnsi="宋体" w:cs="仿宋"/>
          <w:b/>
          <w:bCs/>
          <w:color w:val="auto"/>
          <w:sz w:val="24"/>
          <w:highlight w:val="none"/>
        </w:rPr>
        <w:br w:type="page"/>
      </w:r>
      <w:r>
        <w:rPr>
          <w:rFonts w:hint="eastAsia" w:ascii="宋体" w:hAnsi="宋体" w:cs="仿宋"/>
          <w:b/>
          <w:bCs/>
          <w:color w:val="auto"/>
          <w:sz w:val="24"/>
          <w:highlight w:val="none"/>
        </w:rPr>
        <w:t>（</w:t>
      </w:r>
      <w:r>
        <w:rPr>
          <w:rFonts w:hint="eastAsia" w:ascii="仿宋_GB2312" w:hAnsi="仿宋_GB2312" w:eastAsia="仿宋_GB2312" w:cs="仿宋_GB2312"/>
          <w:b/>
          <w:bCs/>
          <w:color w:val="auto"/>
          <w:sz w:val="28"/>
          <w:szCs w:val="28"/>
          <w:highlight w:val="none"/>
        </w:rPr>
        <w:t>二）主要人员简历表</w:t>
      </w:r>
    </w:p>
    <w:p>
      <w:pPr>
        <w:spacing w:line="360" w:lineRule="auto"/>
        <w:rPr>
          <w:rFonts w:ascii="宋体" w:hAnsi="宋体"/>
          <w:color w:val="auto"/>
          <w:highlight w:val="none"/>
        </w:rPr>
      </w:pPr>
    </w:p>
    <w:tbl>
      <w:tblPr>
        <w:tblStyle w:val="32"/>
        <w:tblW w:w="9901" w:type="dxa"/>
        <w:jc w:val="center"/>
        <w:tblLayout w:type="fixed"/>
        <w:tblCellMar>
          <w:top w:w="0" w:type="dxa"/>
          <w:left w:w="0" w:type="dxa"/>
          <w:bottom w:w="0" w:type="dxa"/>
          <w:right w:w="0" w:type="dxa"/>
        </w:tblCellMar>
      </w:tblPr>
      <w:tblGrid>
        <w:gridCol w:w="1595"/>
        <w:gridCol w:w="25"/>
        <w:gridCol w:w="1215"/>
        <w:gridCol w:w="1134"/>
        <w:gridCol w:w="1689"/>
        <w:gridCol w:w="1967"/>
        <w:gridCol w:w="2276"/>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240" w:type="dxa"/>
            <w:gridSpan w:val="2"/>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5932" w:type="dxa"/>
            <w:gridSpan w:val="3"/>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1240" w:type="dxa"/>
            <w:gridSpan w:val="2"/>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highlight w:val="none"/>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职务</w:t>
            </w:r>
          </w:p>
        </w:tc>
        <w:tc>
          <w:tcPr>
            <w:tcW w:w="1689"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highlight w:val="none"/>
              </w:rPr>
            </w:pPr>
          </w:p>
        </w:tc>
        <w:tc>
          <w:tcPr>
            <w:tcW w:w="196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拟在本合同任职</w:t>
            </w:r>
          </w:p>
        </w:tc>
        <w:tc>
          <w:tcPr>
            <w:tcW w:w="2276" w:type="dxa"/>
            <w:tcBorders>
              <w:top w:val="single" w:color="auto" w:sz="4" w:space="0"/>
              <w:left w:val="nil"/>
              <w:bottom w:val="single" w:color="auto" w:sz="4" w:space="0"/>
              <w:right w:val="single" w:color="auto" w:sz="4" w:space="0"/>
            </w:tcBorders>
          </w:tcPr>
          <w:p>
            <w:pPr>
              <w:spacing w:line="400" w:lineRule="exact"/>
              <w:jc w:val="center"/>
              <w:rPr>
                <w:rFonts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613" w:hRule="atLeast"/>
          <w:jc w:val="center"/>
        </w:trPr>
        <w:tc>
          <w:tcPr>
            <w:tcW w:w="990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00" w:firstLineChars="20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w:t>
            </w:r>
          </w:p>
        </w:tc>
        <w:tc>
          <w:tcPr>
            <w:tcW w:w="4038"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196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担任职务</w:t>
            </w:r>
          </w:p>
        </w:tc>
        <w:tc>
          <w:tcPr>
            <w:tcW w:w="2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4038"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196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2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4038"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196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2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4038"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196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c>
          <w:tcPr>
            <w:tcW w:w="2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p>
        </w:tc>
      </w:tr>
    </w:tbl>
    <w:p>
      <w:pPr>
        <w:spacing w:line="360" w:lineRule="auto"/>
        <w:rPr>
          <w:rFonts w:ascii="宋体" w:hAnsi="宋体"/>
          <w:color w:val="auto"/>
          <w:highlight w:val="none"/>
        </w:rPr>
      </w:pPr>
    </w:p>
    <w:p>
      <w:pPr>
        <w:spacing w:line="400" w:lineRule="exact"/>
        <w:ind w:firstLine="482" w:firstLineChars="200"/>
        <w:rPr>
          <w:rFonts w:ascii="宋体" w:hAnsi="宋体"/>
          <w:color w:val="auto"/>
          <w:sz w:val="32"/>
          <w:szCs w:val="32"/>
          <w:highlight w:val="none"/>
        </w:rPr>
      </w:pPr>
      <w:r>
        <w:rPr>
          <w:rFonts w:hint="eastAsia" w:ascii="仿宋_GB2312" w:hAnsi="仿宋_GB2312" w:eastAsia="仿宋_GB2312" w:cs="仿宋_GB2312"/>
          <w:b/>
          <w:bCs/>
          <w:color w:val="auto"/>
          <w:sz w:val="24"/>
          <w:highlight w:val="none"/>
        </w:rPr>
        <w:t>注：</w:t>
      </w:r>
      <w:r>
        <w:rPr>
          <w:rFonts w:hint="eastAsia" w:ascii="仿宋_GB2312" w:hAnsi="宋体" w:eastAsia="仿宋_GB2312" w:cs="宋体"/>
          <w:color w:val="auto"/>
          <w:highlight w:val="none"/>
        </w:rPr>
        <w:t>人员应附身份证、执业或职业资格证或上岗证或职称证、最近六个月社保缴费证明复印件</w:t>
      </w:r>
      <w:r>
        <w:rPr>
          <w:rFonts w:hint="eastAsia" w:ascii="仿宋_GB2312" w:hAnsi="宋体" w:eastAsia="仿宋_GB2312" w:cs="宋体"/>
          <w:b/>
          <w:bCs/>
          <w:color w:val="auto"/>
          <w:highlight w:val="none"/>
        </w:rPr>
        <w:t>（最近6个月（企业设立不足6个月，从设立时起）连续缴费的社保是指从购买磋商文件时间的上一个月或上上个月起算，往前推6个月的连续、不间断，每个月都缴纳了社会保险费。新聘人员在供应商单位的社保缴费证明不足6个月的，还应提供聘用合同。）</w:t>
      </w:r>
      <w:r>
        <w:rPr>
          <w:rFonts w:hint="eastAsia" w:ascii="仿宋_GB2312" w:hAnsi="宋体" w:eastAsia="仿宋_GB2312" w:cs="宋体"/>
          <w:color w:val="auto"/>
          <w:highlight w:val="none"/>
        </w:rPr>
        <w:t>。</w:t>
      </w:r>
    </w:p>
    <w:p>
      <w:pPr>
        <w:pStyle w:val="4"/>
        <w:spacing w:line="360" w:lineRule="auto"/>
        <w:jc w:val="center"/>
        <w:rPr>
          <w:rFonts w:ascii="宋体" w:hAnsi="宋体" w:eastAsia="宋体"/>
          <w:color w:val="auto"/>
          <w:highlight w:val="none"/>
        </w:rPr>
      </w:pPr>
      <w:r>
        <w:rPr>
          <w:rFonts w:ascii="宋体" w:hAnsi="宋体" w:eastAsia="宋体"/>
          <w:color w:val="auto"/>
          <w:sz w:val="24"/>
          <w:highlight w:val="none"/>
        </w:rPr>
        <w:br w:type="page"/>
      </w:r>
      <w:bookmarkStart w:id="358" w:name="_Toc29244"/>
      <w:bookmarkStart w:id="359" w:name="_Toc18596"/>
      <w:bookmarkStart w:id="360" w:name="_Toc19614"/>
      <w:bookmarkStart w:id="361" w:name="_Toc4331"/>
      <w:bookmarkStart w:id="362" w:name="_Toc9443"/>
      <w:bookmarkStart w:id="363" w:name="_Toc96761131"/>
      <w:r>
        <w:rPr>
          <w:rFonts w:hint="eastAsia" w:ascii="楷体_GB2312" w:hAnsi="楷体_GB2312" w:eastAsia="楷体_GB2312" w:cs="楷体_GB2312"/>
          <w:color w:val="auto"/>
          <w:sz w:val="36"/>
          <w:szCs w:val="36"/>
          <w:highlight w:val="none"/>
        </w:rPr>
        <w:t>十二、其他资料</w:t>
      </w:r>
      <w:bookmarkEnd w:id="358"/>
      <w:bookmarkEnd w:id="359"/>
      <w:bookmarkEnd w:id="360"/>
      <w:bookmarkEnd w:id="361"/>
      <w:bookmarkEnd w:id="362"/>
      <w:bookmarkEnd w:id="363"/>
    </w:p>
    <w:p>
      <w:pPr>
        <w:spacing w:line="480" w:lineRule="exact"/>
        <w:ind w:firstLine="560" w:firstLineChars="200"/>
        <w:rPr>
          <w:rFonts w:ascii="宋体" w:hAnsi="宋体"/>
          <w:color w:val="auto"/>
          <w:sz w:val="24"/>
          <w:highlight w:val="none"/>
        </w:rPr>
      </w:pPr>
      <w:r>
        <w:rPr>
          <w:rFonts w:hint="eastAsia" w:ascii="仿宋_GB2312" w:hAnsi="仿宋_GB2312" w:eastAsia="仿宋_GB2312" w:cs="仿宋_GB2312"/>
          <w:color w:val="auto"/>
          <w:sz w:val="28"/>
          <w:szCs w:val="28"/>
          <w:highlight w:val="none"/>
        </w:rPr>
        <w:t>供应商认为需要提供的其他资料。</w:t>
      </w:r>
    </w:p>
    <w:p>
      <w:pPr>
        <w:pStyle w:val="4"/>
        <w:numPr>
          <w:ilvl w:val="0"/>
          <w:numId w:val="4"/>
        </w:numPr>
        <w:tabs>
          <w:tab w:val="left" w:pos="426"/>
          <w:tab w:val="left" w:pos="567"/>
        </w:tabs>
        <w:spacing w:line="480" w:lineRule="exact"/>
        <w:jc w:val="center"/>
        <w:rPr>
          <w:rFonts w:ascii="宋体" w:hAnsi="宋体" w:eastAsia="宋体"/>
          <w:color w:val="auto"/>
          <w:highlight w:val="none"/>
        </w:rPr>
      </w:pPr>
      <w:r>
        <w:rPr>
          <w:rFonts w:ascii="宋体" w:hAnsi="宋体" w:eastAsia="宋体"/>
          <w:color w:val="auto"/>
          <w:highlight w:val="none"/>
        </w:rPr>
        <w:br w:type="page"/>
      </w:r>
      <w:bookmarkStart w:id="364" w:name="_Toc10571"/>
      <w:bookmarkStart w:id="365" w:name="_Toc45195317"/>
      <w:bookmarkStart w:id="366" w:name="_Toc47099038"/>
      <w:bookmarkStart w:id="367" w:name="_Toc25163"/>
      <w:bookmarkStart w:id="368" w:name="_Toc10115"/>
      <w:bookmarkStart w:id="369" w:name="_Toc10001"/>
      <w:bookmarkStart w:id="370" w:name="_Toc19053"/>
      <w:bookmarkStart w:id="371" w:name="_Toc45114447"/>
      <w:bookmarkStart w:id="372" w:name="_Toc45114640"/>
      <w:r>
        <w:rPr>
          <w:rFonts w:hint="eastAsia" w:ascii="楷体_GB2312" w:hAnsi="楷体_GB2312" w:eastAsia="楷体_GB2312" w:cs="楷体_GB2312"/>
          <w:color w:val="auto"/>
          <w:sz w:val="36"/>
          <w:szCs w:val="36"/>
          <w:highlight w:val="none"/>
          <w:u w:val="single"/>
        </w:rPr>
        <w:t>（最后）</w:t>
      </w:r>
      <w:r>
        <w:rPr>
          <w:rFonts w:hint="eastAsia" w:ascii="楷体_GB2312" w:hAnsi="楷体_GB2312" w:eastAsia="楷体_GB2312" w:cs="楷体_GB2312"/>
          <w:color w:val="auto"/>
          <w:sz w:val="36"/>
          <w:szCs w:val="36"/>
          <w:highlight w:val="none"/>
        </w:rPr>
        <w:t>报价表</w:t>
      </w:r>
      <w:bookmarkEnd w:id="364"/>
      <w:bookmarkEnd w:id="365"/>
      <w:bookmarkEnd w:id="366"/>
      <w:bookmarkEnd w:id="367"/>
      <w:bookmarkEnd w:id="368"/>
      <w:bookmarkEnd w:id="369"/>
      <w:bookmarkEnd w:id="370"/>
      <w:bookmarkEnd w:id="371"/>
      <w:bookmarkEnd w:id="372"/>
    </w:p>
    <w:tbl>
      <w:tblPr>
        <w:tblStyle w:val="32"/>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87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66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8"/>
                <w:highlight w:val="none"/>
              </w:rPr>
            </w:pPr>
            <w:r>
              <w:rPr>
                <w:rFonts w:hint="eastAsia" w:ascii="仿宋" w:hAnsi="仿宋" w:eastAsia="仿宋" w:cs="仿宋"/>
                <w:color w:val="auto"/>
                <w:sz w:val="28"/>
                <w:highlight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87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6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color w:val="auto"/>
                <w:sz w:val="28"/>
                <w:highlight w:val="none"/>
              </w:rPr>
            </w:pPr>
            <w:r>
              <w:rPr>
                <w:rFonts w:hint="eastAsia" w:ascii="仿宋" w:hAnsi="仿宋" w:eastAsia="仿宋" w:cs="仿宋"/>
                <w:color w:val="auto"/>
                <w:sz w:val="28"/>
                <w:highlight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2877"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cs="仿宋"/>
                <w:color w:val="auto"/>
                <w:sz w:val="28"/>
                <w:highlight w:val="none"/>
              </w:rPr>
            </w:pPr>
            <w:r>
              <w:rPr>
                <w:rFonts w:hint="eastAsia" w:ascii="仿宋" w:hAnsi="仿宋" w:eastAsia="仿宋" w:cs="仿宋"/>
                <w:color w:val="auto"/>
                <w:sz w:val="28"/>
                <w:highlight w:val="none"/>
              </w:rPr>
              <w:t>最后报价</w:t>
            </w:r>
          </w:p>
        </w:tc>
        <w:tc>
          <w:tcPr>
            <w:tcW w:w="664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8"/>
                <w:highlight w:val="none"/>
              </w:rPr>
            </w:pPr>
            <w:r>
              <w:rPr>
                <w:rFonts w:hint="eastAsia" w:ascii="宋体" w:hAnsi="宋体"/>
                <w:color w:val="auto"/>
                <w:sz w:val="28"/>
                <w:highlight w:val="none"/>
              </w:rPr>
              <w:t>小写：</w:t>
            </w:r>
          </w:p>
          <w:p>
            <w:pPr>
              <w:spacing w:line="420" w:lineRule="exact"/>
              <w:rPr>
                <w:rFonts w:ascii="宋体" w:hAnsi="宋体"/>
                <w:color w:val="auto"/>
                <w:sz w:val="28"/>
                <w:highlight w:val="none"/>
              </w:rPr>
            </w:pPr>
          </w:p>
          <w:p>
            <w:pPr>
              <w:pStyle w:val="2"/>
              <w:spacing w:line="240" w:lineRule="auto"/>
              <w:rPr>
                <w:color w:val="auto"/>
                <w:highlight w:val="none"/>
              </w:rPr>
            </w:pPr>
          </w:p>
          <w:p>
            <w:pPr>
              <w:spacing w:line="420" w:lineRule="exact"/>
              <w:rPr>
                <w:rFonts w:eastAsia="仿宋_GB2312"/>
                <w:color w:val="auto"/>
                <w:highlight w:val="none"/>
              </w:rPr>
            </w:pPr>
            <w:r>
              <w:rPr>
                <w:rFonts w:hint="eastAsia" w:ascii="宋体" w:hAnsi="宋体"/>
                <w:color w:val="auto"/>
                <w:sz w:val="28"/>
                <w:highlight w:val="none"/>
              </w:rPr>
              <w:t>大写：</w:t>
            </w:r>
          </w:p>
        </w:tc>
      </w:tr>
    </w:tbl>
    <w:p>
      <w:pPr>
        <w:spacing w:line="360" w:lineRule="auto"/>
        <w:rPr>
          <w:rFonts w:ascii="仿宋_GB2312" w:hAnsi="仿宋_GB2312" w:eastAsia="仿宋_GB2312" w:cs="仿宋_GB2312"/>
          <w:color w:val="auto"/>
          <w:sz w:val="28"/>
          <w:szCs w:val="28"/>
          <w:highlight w:val="none"/>
        </w:rPr>
      </w:pP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供应商名称：XXXX</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法定代表人或授权代表：XXXX（签字）</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日期：XX年XX月XX日</w:t>
      </w:r>
    </w:p>
    <w:p>
      <w:pPr>
        <w:spacing w:line="480" w:lineRule="exact"/>
        <w:ind w:firstLine="560" w:firstLineChars="200"/>
        <w:rPr>
          <w:rFonts w:ascii="仿宋_GB2312" w:hAnsi="仿宋_GB2312" w:eastAsia="仿宋_GB2312" w:cs="仿宋_GB2312"/>
          <w:color w:val="auto"/>
          <w:sz w:val="28"/>
          <w:szCs w:val="28"/>
          <w:highlight w:val="none"/>
        </w:rPr>
      </w:pPr>
    </w:p>
    <w:p>
      <w:pPr>
        <w:spacing w:line="480" w:lineRule="exact"/>
        <w:ind w:firstLine="560" w:firstLineChars="200"/>
        <w:rPr>
          <w:rFonts w:ascii="仿宋_GB2312" w:hAnsi="仿宋_GB2312" w:eastAsia="仿宋_GB2312" w:cs="仿宋_GB2312"/>
          <w:color w:val="auto"/>
          <w:sz w:val="28"/>
          <w:szCs w:val="28"/>
          <w:highlight w:val="none"/>
        </w:rPr>
      </w:pPr>
    </w:p>
    <w:p>
      <w:pPr>
        <w:spacing w:line="480" w:lineRule="exact"/>
        <w:ind w:firstLine="562"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说明：</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
          <w:bCs/>
          <w:color w:val="auto"/>
          <w:sz w:val="28"/>
          <w:szCs w:val="28"/>
          <w:highlight w:val="none"/>
        </w:rPr>
        <w:t>供应商无需在响应文件中填写并提供此表</w:t>
      </w:r>
      <w:r>
        <w:rPr>
          <w:rFonts w:hint="eastAsia" w:ascii="仿宋_GB2312" w:hAnsi="仿宋_GB2312" w:eastAsia="仿宋_GB2312" w:cs="仿宋_GB2312"/>
          <w:color w:val="auto"/>
          <w:sz w:val="28"/>
          <w:szCs w:val="28"/>
          <w:highlight w:val="none"/>
        </w:rPr>
        <w:t>。此表为磋商结束后，由供应商填写“</w:t>
      </w:r>
      <w:r>
        <w:rPr>
          <w:rFonts w:hint="eastAsia" w:ascii="仿宋_GB2312" w:hAnsi="仿宋_GB2312" w:eastAsia="仿宋_GB2312" w:cs="仿宋_GB2312"/>
          <w:color w:val="auto"/>
          <w:sz w:val="28"/>
          <w:szCs w:val="28"/>
          <w:highlight w:val="none"/>
          <w:u w:val="single"/>
        </w:rPr>
        <w:t>（最后）</w:t>
      </w:r>
      <w:r>
        <w:rPr>
          <w:rFonts w:hint="eastAsia" w:ascii="仿宋_GB2312" w:hAnsi="仿宋_GB2312" w:eastAsia="仿宋_GB2312" w:cs="仿宋_GB2312"/>
          <w:color w:val="auto"/>
          <w:sz w:val="28"/>
          <w:szCs w:val="28"/>
          <w:highlight w:val="none"/>
        </w:rPr>
        <w:t>报价表”（</w:t>
      </w:r>
      <w:r>
        <w:rPr>
          <w:rFonts w:hint="eastAsia" w:ascii="仿宋_GB2312" w:hAnsi="仿宋_GB2312" w:eastAsia="仿宋_GB2312" w:cs="仿宋_GB2312"/>
          <w:b/>
          <w:bCs/>
          <w:color w:val="auto"/>
          <w:sz w:val="28"/>
          <w:szCs w:val="28"/>
          <w:highlight w:val="none"/>
        </w:rPr>
        <w:t>表格由磋商小组提供</w:t>
      </w:r>
      <w:r>
        <w:rPr>
          <w:rFonts w:hint="eastAsia" w:ascii="仿宋_GB2312" w:hAnsi="仿宋_GB2312" w:eastAsia="仿宋_GB2312" w:cs="仿宋_GB2312"/>
          <w:color w:val="auto"/>
          <w:sz w:val="28"/>
          <w:szCs w:val="28"/>
          <w:highlight w:val="none"/>
        </w:rPr>
        <w:t>），经供应商法定代表人或代理人签字后密封递交给采购代理机构工作人员，由其收集齐后集中递交磋商小组。供应商在响应文件中提交此表的，不影响其响应文件的有效性，其最后报价以磋商结束后提交的“最后报价”为准。</w:t>
      </w:r>
    </w:p>
    <w:p>
      <w:pPr>
        <w:spacing w:line="480" w:lineRule="exact"/>
        <w:ind w:firstLine="560" w:firstLineChars="200"/>
        <w:rPr>
          <w:rFonts w:ascii="宋体" w:hAnsi="宋体"/>
          <w:color w:val="auto"/>
          <w:sz w:val="24"/>
          <w:highlight w:val="none"/>
        </w:rPr>
      </w:pPr>
      <w:r>
        <w:rPr>
          <w:rFonts w:hint="eastAsia" w:ascii="仿宋_GB2312" w:hAnsi="仿宋_GB2312" w:eastAsia="仿宋_GB2312" w:cs="仿宋_GB2312"/>
          <w:color w:val="auto"/>
          <w:sz w:val="28"/>
          <w:szCs w:val="28"/>
          <w:highlight w:val="none"/>
        </w:rPr>
        <w:t>2.报价应是包括磋商文件规定的全部相应内容的报价。</w:t>
      </w:r>
    </w:p>
    <w:p>
      <w:pPr>
        <w:widowControl/>
        <w:snapToGrid w:val="0"/>
        <w:spacing w:line="480" w:lineRule="exact"/>
        <w:ind w:firstLine="560" w:firstLineChars="200"/>
        <w:textAlignment w:val="baseline"/>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bookmarkEnd w:id="316"/>
    <w:p>
      <w:pPr>
        <w:spacing w:line="360" w:lineRule="auto"/>
        <w:jc w:val="center"/>
        <w:outlineLvl w:val="0"/>
        <w:rPr>
          <w:rFonts w:ascii="宋体" w:hAnsi="宋体"/>
          <w:b/>
          <w:color w:val="auto"/>
          <w:sz w:val="36"/>
          <w:szCs w:val="32"/>
          <w:highlight w:val="none"/>
        </w:rPr>
      </w:pPr>
      <w:bookmarkStart w:id="373" w:name="_Toc96761132"/>
      <w:bookmarkStart w:id="374" w:name="_Toc19669"/>
      <w:bookmarkStart w:id="375" w:name="_Toc14933"/>
      <w:bookmarkStart w:id="376" w:name="_Toc20202"/>
      <w:bookmarkStart w:id="377" w:name="_Toc17398"/>
      <w:bookmarkStart w:id="378" w:name="_Toc4450"/>
      <w:bookmarkStart w:id="379" w:name="_Toc8736"/>
      <w:bookmarkStart w:id="380" w:name="_Toc29505"/>
      <w:bookmarkStart w:id="381" w:name="_Toc30129"/>
      <w:bookmarkStart w:id="382" w:name="_Toc6100"/>
      <w:bookmarkStart w:id="383" w:name="_Toc21131"/>
      <w:bookmarkStart w:id="384" w:name="_Toc1955"/>
      <w:bookmarkStart w:id="385" w:name="_Toc26166"/>
      <w:bookmarkStart w:id="386" w:name="_Toc8411"/>
      <w:bookmarkStart w:id="387" w:name="_Toc24595"/>
      <w:bookmarkStart w:id="388" w:name="_Toc514409290"/>
      <w:bookmarkStart w:id="389" w:name="_Toc28869"/>
      <w:bookmarkStart w:id="390" w:name="_Toc519708730"/>
      <w:bookmarkStart w:id="391" w:name="_Toc514424508"/>
      <w:bookmarkStart w:id="392" w:name="_Toc42015225"/>
      <w:bookmarkStart w:id="393" w:name="_Toc26562"/>
      <w:bookmarkStart w:id="394" w:name="_Toc8575"/>
      <w:bookmarkStart w:id="395" w:name="_Toc42014959"/>
      <w:bookmarkStart w:id="396" w:name="_Toc22218"/>
      <w:bookmarkStart w:id="397" w:name="_Toc42015024"/>
      <w:bookmarkStart w:id="398" w:name="_Toc16031"/>
      <w:r>
        <w:rPr>
          <w:rFonts w:hint="eastAsia" w:ascii="黑体" w:hAnsi="黑体" w:eastAsia="黑体" w:cs="黑体"/>
          <w:b/>
          <w:bCs/>
          <w:color w:val="auto"/>
          <w:sz w:val="36"/>
          <w:szCs w:val="36"/>
          <w:highlight w:val="none"/>
        </w:rPr>
        <w:t>第六章  评审方法</w:t>
      </w:r>
      <w:bookmarkEnd w:id="373"/>
      <w:bookmarkEnd w:id="374"/>
      <w:bookmarkEnd w:id="375"/>
      <w:bookmarkEnd w:id="376"/>
      <w:bookmarkEnd w:id="377"/>
      <w:bookmarkEnd w:id="378"/>
      <w:bookmarkEnd w:id="379"/>
      <w:bookmarkEnd w:id="380"/>
      <w:bookmarkEnd w:id="381"/>
      <w:bookmarkEnd w:id="382"/>
      <w:bookmarkEnd w:id="383"/>
      <w:bookmarkEnd w:id="384"/>
    </w:p>
    <w:p>
      <w:pPr>
        <w:tabs>
          <w:tab w:val="left" w:pos="7665"/>
        </w:tabs>
        <w:spacing w:line="480" w:lineRule="exact"/>
        <w:ind w:firstLine="562" w:firstLineChars="200"/>
        <w:rPr>
          <w:rFonts w:ascii="仿宋_GB2312" w:hAnsi="仿宋_GB2312" w:eastAsia="仿宋_GB2312" w:cs="仿宋_GB2312"/>
          <w:b/>
          <w:bCs/>
          <w:color w:val="auto"/>
          <w:sz w:val="28"/>
          <w:szCs w:val="28"/>
          <w:highlight w:val="none"/>
        </w:rPr>
      </w:pPr>
      <w:bookmarkStart w:id="399" w:name="_Toc96446263"/>
      <w:bookmarkStart w:id="400" w:name="_Toc101338358"/>
      <w:bookmarkStart w:id="401" w:name="_Toc101174146"/>
      <w:bookmarkStart w:id="402" w:name="_Toc101250640"/>
      <w:bookmarkStart w:id="403" w:name="_Toc209847065"/>
      <w:bookmarkStart w:id="404" w:name="_Toc430773924"/>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总则</w:t>
      </w:r>
      <w:bookmarkEnd w:id="399"/>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05" w:name="_Toc96446264"/>
      <w:r>
        <w:rPr>
          <w:rFonts w:hint="eastAsia" w:ascii="仿宋_GB2312" w:hAnsi="仿宋_GB2312" w:eastAsia="仿宋_GB2312" w:cs="仿宋_GB2312"/>
          <w:color w:val="auto"/>
          <w:sz w:val="28"/>
          <w:szCs w:val="28"/>
          <w:highlight w:val="none"/>
        </w:rPr>
        <w:t>1.1 结合本采购项目特点制定本磋商方法。</w:t>
      </w:r>
      <w:bookmarkEnd w:id="405"/>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06" w:name="_Toc96446265"/>
      <w:r>
        <w:rPr>
          <w:rFonts w:hint="eastAsia" w:ascii="仿宋_GB2312" w:hAnsi="仿宋_GB2312" w:eastAsia="仿宋_GB2312" w:cs="仿宋_GB2312"/>
          <w:color w:val="auto"/>
          <w:sz w:val="28"/>
          <w:szCs w:val="28"/>
          <w:highlight w:val="none"/>
        </w:rPr>
        <w:t>1.2 磋商工作由采购代理机构负责组织，</w:t>
      </w:r>
      <w:bookmarkEnd w:id="406"/>
      <w:r>
        <w:rPr>
          <w:rFonts w:hint="eastAsia" w:ascii="仿宋_GB2312" w:hAnsi="仿宋_GB2312" w:eastAsia="仿宋_GB2312" w:cs="仿宋_GB2312"/>
          <w:color w:val="auto"/>
          <w:sz w:val="28"/>
          <w:szCs w:val="28"/>
          <w:highlight w:val="none"/>
        </w:rPr>
        <w:t>具体磋商由采购代理机构和采购人组建的磋商小组负责。磋商小组由采购人代表和评审专家共3人以上单数组成，其中评审专家人数不得少于磋商小组成员总数的2/3。采购人代表不得以评审专家身份参加本单位采购项目的评审。采购代理机构人员不得参加本机构代理的采购项目的评审。</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07" w:name="_Toc96446266"/>
      <w:r>
        <w:rPr>
          <w:rFonts w:hint="eastAsia" w:ascii="仿宋_GB2312" w:hAnsi="仿宋_GB2312" w:eastAsia="仿宋_GB2312" w:cs="仿宋_GB2312"/>
          <w:color w:val="auto"/>
          <w:sz w:val="28"/>
          <w:szCs w:val="28"/>
          <w:highlight w:val="none"/>
        </w:rPr>
        <w:t>1.3 磋商工作应遵循公平、公正、科学及择优的原则，并以相同的磋商程序和标准对待所有的供应商。</w:t>
      </w:r>
      <w:bookmarkEnd w:id="407"/>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08" w:name="_Toc96446267"/>
      <w:r>
        <w:rPr>
          <w:rFonts w:hint="eastAsia" w:ascii="仿宋_GB2312" w:hAnsi="仿宋_GB2312" w:eastAsia="仿宋_GB2312" w:cs="仿宋_GB2312"/>
          <w:color w:val="auto"/>
          <w:sz w:val="28"/>
          <w:szCs w:val="28"/>
          <w:highlight w:val="none"/>
        </w:rPr>
        <w:t>1.4 磋商小组按照磋商文件规定的磋商程序、评分方法和标准进行评审，并独立履行下列职责：</w:t>
      </w:r>
      <w:bookmarkEnd w:id="408"/>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09" w:name="_Toc96446268"/>
      <w:r>
        <w:rPr>
          <w:rFonts w:hint="eastAsia" w:ascii="仿宋_GB2312" w:hAnsi="仿宋_GB2312" w:eastAsia="仿宋_GB2312" w:cs="仿宋_GB2312"/>
          <w:color w:val="auto"/>
          <w:sz w:val="28"/>
          <w:szCs w:val="28"/>
          <w:highlight w:val="none"/>
        </w:rPr>
        <w:t>（一）熟悉和理解磋商文件，确定磋商文件内容是否违反国家有关强制性规定或者磋商文件存在歧义、重大缺陷，根据需要书面要求采购人、采购代理机构对磋商文件作出解释；</w:t>
      </w:r>
      <w:bookmarkEnd w:id="409"/>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0" w:name="_Toc96446269"/>
      <w:r>
        <w:rPr>
          <w:rFonts w:hint="eastAsia" w:ascii="仿宋_GB2312" w:hAnsi="仿宋_GB2312" w:eastAsia="仿宋_GB2312" w:cs="仿宋_GB2312"/>
          <w:color w:val="auto"/>
          <w:sz w:val="28"/>
          <w:szCs w:val="28"/>
          <w:highlight w:val="none"/>
        </w:rPr>
        <w:t>（二）审查供应商响应文件是否满足磋商文件要求，并作出公正评价；</w:t>
      </w:r>
      <w:bookmarkEnd w:id="410"/>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1" w:name="_Toc96446270"/>
      <w:r>
        <w:rPr>
          <w:rFonts w:hint="eastAsia" w:ascii="仿宋_GB2312" w:hAnsi="仿宋_GB2312" w:eastAsia="仿宋_GB2312" w:cs="仿宋_GB2312"/>
          <w:color w:val="auto"/>
          <w:sz w:val="28"/>
          <w:szCs w:val="28"/>
          <w:highlight w:val="none"/>
        </w:rPr>
        <w:t>（三）根据需要要求供应商对响应文件中含义不明确、同类问题表述不一致或者有明显文字和计算错误的内容等作出必要的澄清、说明或者更正；</w:t>
      </w:r>
      <w:bookmarkEnd w:id="411"/>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2" w:name="_Toc96446271"/>
      <w:r>
        <w:rPr>
          <w:rFonts w:hint="eastAsia" w:ascii="仿宋_GB2312" w:hAnsi="仿宋_GB2312" w:eastAsia="仿宋_GB2312" w:cs="仿宋_GB2312"/>
          <w:color w:val="auto"/>
          <w:sz w:val="28"/>
          <w:szCs w:val="28"/>
          <w:highlight w:val="none"/>
        </w:rPr>
        <w:t>（四）推荐成交供应商，或者受采购人委托确定成交供应商；</w:t>
      </w:r>
      <w:bookmarkEnd w:id="412"/>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3" w:name="_Toc96446272"/>
      <w:r>
        <w:rPr>
          <w:rFonts w:hint="eastAsia" w:ascii="仿宋_GB2312" w:hAnsi="仿宋_GB2312" w:eastAsia="仿宋_GB2312" w:cs="仿宋_GB2312"/>
          <w:color w:val="auto"/>
          <w:sz w:val="28"/>
          <w:szCs w:val="28"/>
          <w:highlight w:val="none"/>
        </w:rPr>
        <w:t>（五）起草评审报告并进行签署；</w:t>
      </w:r>
      <w:bookmarkEnd w:id="413"/>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4" w:name="_Toc96446273"/>
      <w:r>
        <w:rPr>
          <w:rFonts w:hint="eastAsia" w:ascii="仿宋_GB2312" w:hAnsi="仿宋_GB2312" w:eastAsia="仿宋_GB2312" w:cs="仿宋_GB2312"/>
          <w:color w:val="auto"/>
          <w:sz w:val="28"/>
          <w:szCs w:val="28"/>
          <w:highlight w:val="none"/>
        </w:rPr>
        <w:t>（六）向采购人</w:t>
      </w:r>
      <w:r>
        <w:rPr>
          <w:rFonts w:hint="eastAsia" w:ascii="仿宋_GB2312" w:hAnsi="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采购代理机构或者其他监督部门报告非法干预评审工作的行为；</w:t>
      </w:r>
      <w:bookmarkEnd w:id="414"/>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5" w:name="_Toc96446274"/>
      <w:r>
        <w:rPr>
          <w:rFonts w:hint="eastAsia" w:ascii="仿宋_GB2312" w:hAnsi="仿宋_GB2312" w:eastAsia="仿宋_GB2312" w:cs="仿宋_GB2312"/>
          <w:color w:val="auto"/>
          <w:sz w:val="28"/>
          <w:szCs w:val="28"/>
          <w:highlight w:val="none"/>
        </w:rPr>
        <w:t>（七）法律、法规和规章规定的其他职责。</w:t>
      </w:r>
      <w:bookmarkEnd w:id="415"/>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6" w:name="_Toc96446275"/>
      <w:r>
        <w:rPr>
          <w:rFonts w:hint="eastAsia" w:ascii="仿宋_GB2312" w:hAnsi="仿宋_GB2312" w:eastAsia="仿宋_GB2312" w:cs="仿宋_GB2312"/>
          <w:color w:val="auto"/>
          <w:sz w:val="28"/>
          <w:szCs w:val="28"/>
          <w:highlight w:val="none"/>
        </w:rPr>
        <w:t>1.5磋商过程独立、保密。供应商非法干预磋商过程的，其响应文件作无效处理。</w:t>
      </w:r>
      <w:bookmarkEnd w:id="416"/>
    </w:p>
    <w:p>
      <w:pPr>
        <w:tabs>
          <w:tab w:val="left" w:pos="7665"/>
        </w:tabs>
        <w:spacing w:line="480" w:lineRule="exact"/>
        <w:ind w:firstLine="562" w:firstLineChars="200"/>
        <w:rPr>
          <w:rFonts w:ascii="仿宋_GB2312" w:hAnsi="仿宋_GB2312" w:eastAsia="仿宋_GB2312" w:cs="仿宋_GB2312"/>
          <w:b/>
          <w:bCs/>
          <w:color w:val="auto"/>
          <w:sz w:val="28"/>
          <w:szCs w:val="28"/>
          <w:highlight w:val="none"/>
        </w:rPr>
      </w:pPr>
      <w:bookmarkStart w:id="417" w:name="_Toc96446276"/>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磋商程序</w:t>
      </w:r>
      <w:bookmarkEnd w:id="417"/>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8" w:name="_Toc96446277"/>
      <w:r>
        <w:rPr>
          <w:rFonts w:hint="eastAsia" w:ascii="仿宋_GB2312" w:hAnsi="仿宋_GB2312" w:eastAsia="仿宋_GB2312" w:cs="仿宋_GB2312"/>
          <w:color w:val="auto"/>
          <w:sz w:val="28"/>
          <w:szCs w:val="28"/>
          <w:highlight w:val="none"/>
        </w:rPr>
        <w:t>2.1 审查磋商文件</w:t>
      </w:r>
      <w:bookmarkEnd w:id="418"/>
      <w:r>
        <w:rPr>
          <w:rFonts w:hint="eastAsia" w:ascii="仿宋_GB2312" w:hAnsi="仿宋_GB2312" w:eastAsia="仿宋_GB2312" w:cs="仿宋_GB2312"/>
          <w:color w:val="auto"/>
          <w:sz w:val="28"/>
          <w:szCs w:val="28"/>
          <w:highlight w:val="none"/>
        </w:rPr>
        <w:t>和停止评审。</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19" w:name="_Toc96446278"/>
      <w:r>
        <w:rPr>
          <w:rFonts w:hint="eastAsia" w:ascii="仿宋_GB2312" w:hAnsi="仿宋_GB2312" w:eastAsia="仿宋_GB2312" w:cs="仿宋_GB2312"/>
          <w:color w:val="auto"/>
          <w:sz w:val="28"/>
          <w:szCs w:val="28"/>
          <w:highlight w:val="none"/>
        </w:rPr>
        <w:t>2.1.1 磋商小组正式评审前，应当对磋商文件进行熟悉和理解，内容主要包括磋商文件中供应商资格条件要求、采购项目技术、服务和商务要求、磋商办法和标准、采购政策要求以及采购合同主要条款等。</w:t>
      </w:r>
      <w:bookmarkEnd w:id="419"/>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20" w:name="_Toc96446279"/>
      <w:r>
        <w:rPr>
          <w:rFonts w:hint="eastAsia" w:ascii="仿宋_GB2312" w:hAnsi="仿宋_GB2312" w:eastAsia="仿宋_GB2312" w:cs="仿宋_GB2312"/>
          <w:color w:val="auto"/>
          <w:sz w:val="28"/>
          <w:szCs w:val="28"/>
          <w:highlight w:val="none"/>
        </w:rPr>
        <w:t>2.1.2 本磋商文件有下列情形之一的，应要求采购人或代理机构进行澄清：</w:t>
      </w:r>
      <w:bookmarkEnd w:id="420"/>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21" w:name="_Toc96446280"/>
      <w:r>
        <w:rPr>
          <w:rFonts w:hint="eastAsia" w:ascii="仿宋_GB2312" w:hAnsi="仿宋_GB2312" w:eastAsia="仿宋_GB2312" w:cs="仿宋_GB2312"/>
          <w:color w:val="auto"/>
          <w:sz w:val="28"/>
          <w:szCs w:val="28"/>
          <w:highlight w:val="none"/>
        </w:rPr>
        <w:t>（1）磋商文件的规定存在歧义、重大缺陷的；</w:t>
      </w:r>
      <w:bookmarkEnd w:id="421"/>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22" w:name="_Toc96446281"/>
      <w:r>
        <w:rPr>
          <w:rFonts w:hint="eastAsia" w:ascii="仿宋_GB2312" w:hAnsi="仿宋_GB2312" w:eastAsia="仿宋_GB2312" w:cs="仿宋_GB2312"/>
          <w:color w:val="auto"/>
          <w:sz w:val="28"/>
          <w:szCs w:val="28"/>
          <w:highlight w:val="none"/>
        </w:rPr>
        <w:t>（2）磋商文件明显以不合理条件对供应商实行差别待遇或者歧视待遇的；</w:t>
      </w:r>
      <w:bookmarkEnd w:id="422"/>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23" w:name="_Toc96446282"/>
      <w:r>
        <w:rPr>
          <w:rFonts w:hint="eastAsia" w:ascii="仿宋_GB2312" w:hAnsi="仿宋_GB2312" w:eastAsia="仿宋_GB2312" w:cs="仿宋_GB2312"/>
          <w:color w:val="auto"/>
          <w:sz w:val="28"/>
          <w:szCs w:val="28"/>
          <w:highlight w:val="none"/>
        </w:rPr>
        <w:t>（3）</w:t>
      </w:r>
      <w:bookmarkEnd w:id="423"/>
      <w:bookmarkStart w:id="424" w:name="_Toc96446283"/>
      <w:r>
        <w:rPr>
          <w:rFonts w:hint="eastAsia" w:ascii="仿宋_GB2312" w:hAnsi="仿宋_GB2312" w:eastAsia="仿宋_GB2312" w:cs="仿宋_GB2312"/>
          <w:color w:val="auto"/>
          <w:sz w:val="28"/>
          <w:szCs w:val="28"/>
          <w:highlight w:val="none"/>
        </w:rPr>
        <w:t>磋商文件载明的成交原则不合法的；</w:t>
      </w:r>
      <w:bookmarkEnd w:id="424"/>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25" w:name="_Toc96446284"/>
      <w:r>
        <w:rPr>
          <w:rFonts w:hint="eastAsia" w:ascii="仿宋_GB2312" w:hAnsi="仿宋_GB2312" w:eastAsia="仿宋_GB2312" w:cs="仿宋_GB2312"/>
          <w:color w:val="auto"/>
          <w:sz w:val="28"/>
          <w:szCs w:val="28"/>
          <w:highlight w:val="none"/>
        </w:rPr>
        <w:t>（4）磋商文件有违反国家其他有关强制性规定的情形。</w:t>
      </w:r>
      <w:bookmarkEnd w:id="425"/>
    </w:p>
    <w:p>
      <w:pPr>
        <w:tabs>
          <w:tab w:val="left" w:pos="7665"/>
        </w:tabs>
        <w:spacing w:line="480" w:lineRule="exact"/>
        <w:ind w:firstLine="560" w:firstLineChars="200"/>
        <w:rPr>
          <w:rFonts w:hint="eastAsia" w:ascii="仿宋_GB2312" w:hAnsi="仿宋_GB2312" w:eastAsia="仿宋_GB2312" w:cs="仿宋_GB2312"/>
          <w:color w:val="auto"/>
          <w:sz w:val="28"/>
          <w:szCs w:val="28"/>
          <w:highlight w:val="none"/>
        </w:rPr>
      </w:pPr>
      <w:bookmarkStart w:id="426" w:name="_Toc96446285"/>
      <w:r>
        <w:rPr>
          <w:rFonts w:hint="eastAsia" w:ascii="仿宋_GB2312" w:hAnsi="仿宋_GB2312" w:eastAsia="仿宋_GB2312" w:cs="仿宋_GB2312"/>
          <w:color w:val="auto"/>
          <w:sz w:val="28"/>
          <w:szCs w:val="28"/>
          <w:highlight w:val="none"/>
        </w:rPr>
        <w:t>2.1.3 出现2.1.2规定应当停止评审情形的，磋商小组应当向采购人书面说明情况，除此之外，磋商小组不得以任何方式和理由停止评审。</w:t>
      </w:r>
      <w:bookmarkEnd w:id="426"/>
    </w:p>
    <w:p>
      <w:pPr>
        <w:tabs>
          <w:tab w:val="left" w:pos="7665"/>
        </w:tabs>
        <w:spacing w:line="480" w:lineRule="exact"/>
        <w:ind w:firstLine="562" w:firstLineChars="200"/>
        <w:rPr>
          <w:rFonts w:ascii="仿宋_GB2312" w:hAnsi="仿宋_GB2312" w:eastAsia="仿宋_GB2312" w:cs="仿宋_GB2312"/>
          <w:b/>
          <w:bCs/>
          <w:color w:val="auto"/>
          <w:sz w:val="28"/>
          <w:szCs w:val="28"/>
          <w:highlight w:val="none"/>
        </w:rPr>
      </w:pPr>
      <w:bookmarkStart w:id="427" w:name="_Toc96446286"/>
      <w:r>
        <w:rPr>
          <w:rFonts w:hint="eastAsia" w:ascii="仿宋_GB2312" w:hAnsi="仿宋_GB2312" w:eastAsia="仿宋_GB2312" w:cs="仿宋_GB2312"/>
          <w:b/>
          <w:bCs/>
          <w:color w:val="auto"/>
          <w:sz w:val="28"/>
          <w:szCs w:val="28"/>
          <w:highlight w:val="none"/>
        </w:rPr>
        <w:t>2.</w:t>
      </w:r>
      <w:bookmarkEnd w:id="427"/>
      <w:r>
        <w:rPr>
          <w:rFonts w:hint="eastAsia" w:ascii="仿宋_GB2312" w:hAnsi="仿宋_GB2312" w:eastAsia="仿宋_GB2312" w:cs="仿宋_GB2312"/>
          <w:b/>
          <w:bCs/>
          <w:color w:val="auto"/>
          <w:sz w:val="28"/>
          <w:szCs w:val="28"/>
          <w:highlight w:val="none"/>
        </w:rPr>
        <w:t>2资格及符合性审查。</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28" w:name="_Toc96446287"/>
      <w:r>
        <w:rPr>
          <w:rFonts w:hint="eastAsia" w:ascii="仿宋_GB2312" w:hAnsi="仿宋_GB2312" w:eastAsia="仿宋_GB2312" w:cs="仿宋_GB2312"/>
          <w:color w:val="auto"/>
          <w:sz w:val="28"/>
          <w:szCs w:val="28"/>
          <w:highlight w:val="none"/>
        </w:rPr>
        <w:t>2.2.1本项目需要磋商小组进行资格</w:t>
      </w:r>
      <w:r>
        <w:rPr>
          <w:rFonts w:hint="eastAsia" w:ascii="仿宋_GB2312" w:hAnsi="仿宋_GB2312" w:cs="仿宋_GB2312"/>
          <w:color w:val="auto"/>
          <w:sz w:val="28"/>
          <w:szCs w:val="28"/>
          <w:highlight w:val="none"/>
        </w:rPr>
        <w:t>审</w:t>
      </w:r>
      <w:r>
        <w:rPr>
          <w:rFonts w:hint="eastAsia" w:ascii="仿宋_GB2312" w:hAnsi="仿宋_GB2312" w:eastAsia="仿宋_GB2312" w:cs="仿宋_GB2312"/>
          <w:color w:val="auto"/>
          <w:sz w:val="28"/>
          <w:szCs w:val="28"/>
          <w:highlight w:val="none"/>
        </w:rPr>
        <w:t>查。磋商小组应依据法律法规和磋商文件的规定，对响应文件进行审查，以确定供应商是否具备磋商资格，具体详见评审表。</w:t>
      </w:r>
      <w:bookmarkEnd w:id="428"/>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29" w:name="_Toc96446288"/>
      <w:r>
        <w:rPr>
          <w:rFonts w:hint="eastAsia" w:ascii="仿宋_GB2312" w:hAnsi="仿宋_GB2312" w:eastAsia="仿宋_GB2312" w:cs="仿宋_GB2312"/>
          <w:color w:val="auto"/>
          <w:sz w:val="28"/>
          <w:szCs w:val="28"/>
          <w:highlight w:val="none"/>
        </w:rPr>
        <w:t>2.2.2资格性审查结束后，磋商小组应当出具资格性审查报告，没有通过资格审查的供应商，磋商小组应当在资格审查报告中说明原因。</w:t>
      </w:r>
      <w:bookmarkEnd w:id="429"/>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2.2.3磋商小组宣布未通过资格性审查的供应商名单时，采购代理机构应当告知供应商未通过审查的原因。</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2.2.4 通过资格性审查的供应商不足3家的，终止本次采购活动，并发布终止采购活动公告。</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2.2.5磋商小组应依据磋商文件规定的所有实质性要求，对符合资格的响应文件进行符合性审查，以确定参加磋商的供应商名单。</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0" w:name="_Toc96446292"/>
      <w:r>
        <w:rPr>
          <w:rFonts w:hint="eastAsia" w:ascii="仿宋_GB2312" w:hAnsi="仿宋_GB2312" w:eastAsia="仿宋_GB2312" w:cs="仿宋_GB2312"/>
          <w:color w:val="auto"/>
          <w:sz w:val="28"/>
          <w:szCs w:val="28"/>
          <w:highlight w:val="none"/>
        </w:rPr>
        <w:t>2.3 磋商</w:t>
      </w:r>
      <w:bookmarkEnd w:id="430"/>
      <w:r>
        <w:rPr>
          <w:rFonts w:hint="eastAsia" w:ascii="仿宋_GB2312" w:hAnsi="仿宋_GB2312" w:eastAsia="仿宋_GB2312" w:cs="仿宋_GB2312"/>
          <w:color w:val="auto"/>
          <w:sz w:val="28"/>
          <w:szCs w:val="28"/>
          <w:highlight w:val="none"/>
        </w:rPr>
        <w:t>。</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1" w:name="_Toc96446293"/>
      <w:r>
        <w:rPr>
          <w:rFonts w:hint="eastAsia" w:ascii="仿宋_GB2312" w:hAnsi="仿宋_GB2312" w:eastAsia="仿宋_GB2312" w:cs="仿宋_GB2312"/>
          <w:color w:val="auto"/>
          <w:sz w:val="28"/>
          <w:szCs w:val="28"/>
          <w:highlight w:val="none"/>
        </w:rPr>
        <w:t>2.3.1 磋商小组所有成员集中与单一供应商分别进行一轮或多轮磋商，并给予所有参加磋商的供应商平等的磋商机会。磋商顺序以递交响应文件签到顺序确定，或者以现场签到、现场抽签等符合公平公正原则的方式确定。磋商过程中，磋商小组可以根据磋商情况调整磋商轮次。</w:t>
      </w:r>
      <w:bookmarkEnd w:id="431"/>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2" w:name="_Toc96446294"/>
      <w:r>
        <w:rPr>
          <w:rFonts w:hint="eastAsia" w:ascii="仿宋_GB2312" w:hAnsi="仿宋_GB2312" w:eastAsia="仿宋_GB2312" w:cs="仿宋_GB2312"/>
          <w:color w:val="auto"/>
          <w:sz w:val="28"/>
          <w:szCs w:val="28"/>
          <w:highlight w:val="none"/>
        </w:rPr>
        <w:t>2.3.2 每轮磋商开始前，磋商小组应根据磋商文件的规定，并结合各供应商的响应文件拟定磋商内容。</w:t>
      </w:r>
      <w:bookmarkEnd w:id="432"/>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3" w:name="_Toc96446295"/>
      <w:r>
        <w:rPr>
          <w:rFonts w:hint="eastAsia" w:ascii="仿宋_GB2312" w:hAnsi="仿宋_GB2312" w:eastAsia="仿宋_GB2312" w:cs="仿宋_GB2312"/>
          <w:color w:val="auto"/>
          <w:sz w:val="28"/>
          <w:szCs w:val="28"/>
          <w:highlight w:val="none"/>
        </w:rPr>
        <w:t>2.3.3 在磋商过程中，磋商小组可以根据磋商文件和磋商情况实质性变动磋商文件的技术、服务要求以及合同草案条款，但不得变动磋商文件中的其他内容。实质性变动的内容，须经采购人代表书面确认。</w:t>
      </w:r>
      <w:bookmarkEnd w:id="433"/>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4" w:name="_Toc96446296"/>
      <w:r>
        <w:rPr>
          <w:rFonts w:hint="eastAsia" w:ascii="仿宋_GB2312" w:hAnsi="仿宋_GB2312" w:eastAsia="仿宋_GB2312" w:cs="仿宋_GB2312"/>
          <w:color w:val="auto"/>
          <w:sz w:val="28"/>
          <w:szCs w:val="28"/>
          <w:highlight w:val="none"/>
        </w:rPr>
        <w:t>2.3.4 对磋商文件作出的实质性变动是磋商文件的有效组成部分，磋商小组应当及时以书面形式同时通知所有参加磋商的供应商。</w:t>
      </w:r>
      <w:bookmarkEnd w:id="434"/>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5" w:name="_Toc96446297"/>
      <w:r>
        <w:rPr>
          <w:rFonts w:hint="eastAsia" w:ascii="仿宋_GB2312" w:hAnsi="仿宋_GB2312" w:eastAsia="仿宋_GB2312" w:cs="仿宋_GB2312"/>
          <w:color w:val="auto"/>
          <w:sz w:val="28"/>
          <w:szCs w:val="28"/>
          <w:highlight w:val="none"/>
        </w:rPr>
        <w:t>2.3.5 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435"/>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6" w:name="_Toc96446298"/>
      <w:r>
        <w:rPr>
          <w:rFonts w:hint="eastAsia" w:ascii="仿宋_GB2312" w:hAnsi="仿宋_GB2312" w:eastAsia="仿宋_GB2312" w:cs="仿宋_GB2312"/>
          <w:color w:val="auto"/>
          <w:sz w:val="28"/>
          <w:szCs w:val="28"/>
          <w:highlight w:val="none"/>
        </w:rPr>
        <w:t>2.3.6 磋商过程中，磋商的任何一方不得透露与磋商有关的其他供应商的技术资料、价格和其他信息。</w:t>
      </w:r>
      <w:bookmarkEnd w:id="436"/>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7" w:name="_Toc96446299"/>
      <w:r>
        <w:rPr>
          <w:rFonts w:hint="eastAsia" w:ascii="仿宋_GB2312" w:hAnsi="仿宋_GB2312" w:eastAsia="仿宋_GB2312" w:cs="仿宋_GB2312"/>
          <w:color w:val="auto"/>
          <w:sz w:val="28"/>
          <w:szCs w:val="28"/>
          <w:highlight w:val="none"/>
        </w:rPr>
        <w:t>2.3.7 磋商过程中，磋商小组发现或者知晓供应商存在违法、违纪行为的，磋商小组应当将该供应商响应文件作无效处理，不允许其提交最后报价。</w:t>
      </w:r>
      <w:bookmarkEnd w:id="437"/>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bookmarkStart w:id="438" w:name="_Toc96446300"/>
      <w:r>
        <w:rPr>
          <w:rFonts w:hint="eastAsia" w:ascii="仿宋_GB2312" w:hAnsi="仿宋_GB2312" w:eastAsia="仿宋_GB2312" w:cs="仿宋_GB2312"/>
          <w:color w:val="auto"/>
          <w:sz w:val="28"/>
          <w:szCs w:val="28"/>
          <w:highlight w:val="none"/>
        </w:rPr>
        <w:t>2.3.8 磋商完成后，磋商小组应出具磋商情况记录表，磋商情况记录表需包含磋商内容、磋商意见、实质性变动内容等</w:t>
      </w:r>
      <w:bookmarkEnd w:id="438"/>
      <w:r>
        <w:rPr>
          <w:rFonts w:hint="eastAsia" w:ascii="仿宋_GB2312" w:hAnsi="仿宋_GB2312" w:eastAsia="仿宋_GB2312" w:cs="仿宋_GB2312"/>
          <w:color w:val="auto"/>
          <w:sz w:val="28"/>
          <w:szCs w:val="28"/>
          <w:highlight w:val="none"/>
        </w:rPr>
        <w:t xml:space="preserve">。   </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 报价</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2.4.1 除首次响应文件中的报价以外，供应商报价采用现场报价。现场报价前，磋商小组应对供应商首次响应文件中的报价（已标价工程量清单）进行评审：</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（1）磋商小组对供应商已标价工程量清单进行算术性复核，如果出现下列不一致的，按以下原则进行修正：</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总价金额与依据单价（或费率）计算出的结果不一致的，以单价（或费率）为准修正总价，但单价（或费率）小数点有明显错误的除外（包括但不限于工程量清单、单位工程汇总表、单项工程汇总表、投标报价汇总表）。</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修正后的报价经供应商确认后产生约束力，供应商不确认的，其响应文件作为无效处理。供应商确认采取书面且加盖单位公章或者供应商授权代表签字的方式。</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不得未经澄清、说明或者更正，直接将供应商响应文件作为无效处理。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（3）磋商小组对供应商已标价工程量清单的项目单价进行评审，对明显不合理的单价（如明显偏高或偏低）项目，应在评审报告中记录，提醒采购人在签订合同时注意，并在合同履行过程中加强风险防范。</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2.4.2 已标价工程量清单评审结束后，磋商小组应当要求所有实质性响应的供应商在规定时间内提交最后报价或者多轮报价后再最后报价，提交最后报价的供应商不得少于</w:t>
      </w: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color w:val="auto"/>
          <w:sz w:val="28"/>
          <w:szCs w:val="28"/>
          <w:highlight w:val="none"/>
        </w:rPr>
        <w:t>家。两轮（首次响应文件中的报价为第一轮）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2.4.3 参与报价的供应商按磋商小组要求进行报价。最后报价超过竞争性磋商文件规定的采购预算（或最高限价）或者相关报价不符合磋商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2.4.4 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2.4.5 采购人在磋商文件中直接确定了采购项目采购价格的，供应商的报价应当按照磋商文件中确定了的采购项目采购价格进行报价，不得增加或者减少，否则其报价无效，其响应文件将作为无效处理。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2.4.6 供应商最后报价属于明显低价不正当竞争的，磋商小组应按照“供应商须知附表”第5项规定处理。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2.5 比较与评价。由磋商小组采用综合评分法对提交最后报价的供应商的响应文件和最后报价进行综合评分，具体要求详见本章综合评分部分。</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2.6 推荐成交候选人。磋商小组应当根据综合评分情况，按照评审得分由高到低顺序推荐2家</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成交候选人，并编写磋商报告。评审得分相同的，按照最后报价由低到高的顺序推荐。评审得分且最后报价相同的，按照技术指标优劣顺序推荐。评审得分且最后报价且技术指标分项得分均相同的，成交候选人并列。</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 xml:space="preserve"> 磋商小组复核。磋商小组评分汇总结束后，磋商小组应当进行评审复核，对拟推荐为成交候选人的、报价最低的、供应商资格审查未通过的、供应商响应文件作无效处理的重点复核。</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（1）资格性审查认定错误的；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（2）分值汇总计算错误的；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（3）分项评分超出评分标准范围的；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（4）客观评分不一致的。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继续组织实施采购活动，不得擅自中止采购活动。采购代理机构认为磋商小组评审结果不合法的，应当向有关部门报告。</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采购代理机构复核过程中，磋商小组成员不得离开评审现场。</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2.8 有下列情形之一的，不得现场修改评审结果：</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（1）磋商小组已经出具磋商报告并且离开评审现场的；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（2）采购代理机构现场复核时，复核工作人员数量不足的；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（3）采购代理机构现场复核时，没有采购监督人员现场监督的；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（4）采购代理机构现场复核内容超出规定范围的；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（5）采购代理机构未提供书面建议的。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2.9 编写磋商报告。磋商小组推荐成交候选人后，应向采购人/采购代理机构出具磋商报告。磋商报告应当包括以下主要内容：</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（1）邀请供应商参加采购活动的具体方式和相关情况；</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（2）响应文件开启日期和地点；</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（3）获取磋商文件的供应商名单和磋商小组成员名单；</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（4）评审情况记录和说明，包括对供应商的资格审查情况、符合性审查情况、磋商情况、报价情况等；</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（5）提出的成交候选人的排序名单及理由。</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rPr>
        <w:t>10</w:t>
      </w:r>
      <w:r>
        <w:rPr>
          <w:rFonts w:hint="eastAsia" w:ascii="仿宋_GB2312" w:hAnsi="仿宋_GB2312" w:eastAsia="仿宋_GB2312" w:cs="仿宋_GB2312"/>
          <w:color w:val="auto"/>
          <w:sz w:val="28"/>
          <w:szCs w:val="28"/>
          <w:highlight w:val="none"/>
        </w:rPr>
        <w:t xml:space="preserve"> 磋商异议处理规则。在磋商过程中，磋商小组成员对响应文件是否符合磋商文件规定存在争议的，应当以少数服从多数的原则处理，但不</w:t>
      </w:r>
      <w:r>
        <w:rPr>
          <w:rFonts w:hint="eastAsia" w:ascii="仿宋_GB2312" w:hAnsi="仿宋_GB2312" w:cs="仿宋_GB2312"/>
          <w:color w:val="auto"/>
          <w:sz w:val="28"/>
          <w:szCs w:val="28"/>
          <w:highlight w:val="none"/>
        </w:rPr>
        <w:t>得</w:t>
      </w:r>
      <w:r>
        <w:rPr>
          <w:rFonts w:hint="eastAsia" w:ascii="仿宋_GB2312" w:hAnsi="仿宋_GB2312" w:eastAsia="仿宋_GB2312" w:cs="仿宋_GB2312"/>
          <w:color w:val="auto"/>
          <w:sz w:val="28"/>
          <w:szCs w:val="28"/>
          <w:highlight w:val="none"/>
        </w:rPr>
        <w:t>违背磋商文件规定。有不同意见的磋商小组成员认为认定过程和结果不符合法律法规或者磋商文件规定的，应当在磋商报告中予以反映。</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rPr>
        <w:t>11</w:t>
      </w:r>
      <w:r>
        <w:rPr>
          <w:rFonts w:hint="eastAsia" w:ascii="仿宋_GB2312" w:hAnsi="仿宋_GB2312" w:eastAsia="仿宋_GB2312" w:cs="仿宋_GB2312"/>
          <w:color w:val="auto"/>
          <w:sz w:val="28"/>
          <w:szCs w:val="28"/>
          <w:highlight w:val="none"/>
        </w:rPr>
        <w:t xml:space="preserve"> 供应商澄清、说明</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rPr>
        <w:t>11</w:t>
      </w:r>
      <w:r>
        <w:rPr>
          <w:rFonts w:hint="eastAsia" w:ascii="仿宋_GB2312" w:hAnsi="仿宋_GB2312" w:eastAsia="仿宋_GB2312" w:cs="仿宋_GB2312"/>
          <w:color w:val="auto"/>
          <w:sz w:val="28"/>
          <w:szCs w:val="28"/>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rPr>
        <w:t>11</w:t>
      </w:r>
      <w:r>
        <w:rPr>
          <w:rFonts w:hint="eastAsia" w:ascii="仿宋_GB2312" w:hAnsi="仿宋_GB2312" w:eastAsia="仿宋_GB2312" w:cs="仿宋_GB2312"/>
          <w:color w:val="auto"/>
          <w:sz w:val="28"/>
          <w:szCs w:val="28"/>
          <w:highlight w:val="none"/>
        </w:rPr>
        <w:t>.2磋商小组要求供应商澄清、说明或者更正响应文件应当以书面形式作出。供应商的澄清、说明或者更正应当由法定代表人/主要负责人/本人或其授权代表签字或者加盖公章。</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w:t>
      </w:r>
      <w:r>
        <w:rPr>
          <w:rFonts w:hint="eastAsia" w:ascii="仿宋_GB2312" w:hAnsi="仿宋_GB2312" w:cs="仿宋_GB2312"/>
          <w:color w:val="auto"/>
          <w:sz w:val="28"/>
          <w:szCs w:val="28"/>
          <w:highlight w:val="none"/>
        </w:rPr>
        <w:t>2</w:t>
      </w:r>
      <w:r>
        <w:rPr>
          <w:rFonts w:hint="eastAsia" w:ascii="仿宋_GB2312" w:hAnsi="仿宋_GB2312" w:eastAsia="仿宋_GB2312" w:cs="仿宋_GB2312"/>
          <w:color w:val="auto"/>
          <w:sz w:val="28"/>
          <w:szCs w:val="28"/>
          <w:highlight w:val="none"/>
        </w:rPr>
        <w:t xml:space="preserve"> 终止磋商采购活动。</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出现下列情形之一的，采购人或者采购代理机构应当终止竞争性磋商采购活动，发布项目终止公告并说明原因，重新开展采购活动：</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（1）因情况变化，不再符合规定的竞争性磋商采购方式适用情形的；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（2）出现影响采购公正的违法、违规行为的；</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
          <w:bCs/>
          <w:color w:val="auto"/>
          <w:sz w:val="28"/>
          <w:szCs w:val="28"/>
          <w:highlight w:val="none"/>
        </w:rPr>
        <w:t>除本章2.2和2.4.</w:t>
      </w:r>
      <w:r>
        <w:rPr>
          <w:rFonts w:hint="eastAsia" w:ascii="仿宋_GB2312" w:hAnsi="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rPr>
        <w:t>的情况外</w:t>
      </w:r>
      <w:r>
        <w:rPr>
          <w:rFonts w:hint="eastAsia" w:ascii="仿宋_GB2312" w:hAnsi="仿宋_GB2312" w:eastAsia="仿宋_GB2312" w:cs="仿宋_GB2312"/>
          <w:color w:val="auto"/>
          <w:sz w:val="28"/>
          <w:szCs w:val="28"/>
          <w:highlight w:val="none"/>
        </w:rPr>
        <w:t>，在采购过程中符合要求的供应商或者报价未超过最高限价的供应商不足3家的。</w:t>
      </w:r>
    </w:p>
    <w:p>
      <w:pPr>
        <w:tabs>
          <w:tab w:val="left" w:pos="7665"/>
        </w:tabs>
        <w:spacing w:line="480" w:lineRule="exact"/>
        <w:ind w:firstLine="562" w:firstLineChars="200"/>
        <w:rPr>
          <w:rFonts w:eastAsia="仿宋_GB2312"/>
          <w:b/>
          <w:color w:val="auto"/>
          <w:sz w:val="28"/>
          <w:szCs w:val="28"/>
          <w:highlight w:val="none"/>
        </w:rPr>
      </w:pPr>
      <w:r>
        <w:rPr>
          <w:rFonts w:eastAsia="仿宋_GB2312"/>
          <w:b/>
          <w:color w:val="auto"/>
          <w:sz w:val="28"/>
          <w:szCs w:val="28"/>
          <w:highlight w:val="none"/>
        </w:rPr>
        <w:t>3.</w:t>
      </w:r>
      <w:r>
        <w:rPr>
          <w:rFonts w:hint="eastAsia" w:ascii="仿宋_GB2312" w:hAnsi="仿宋_GB2312" w:eastAsia="仿宋_GB2312" w:cs="仿宋_GB2312"/>
          <w:color w:val="auto"/>
          <w:sz w:val="28"/>
          <w:szCs w:val="28"/>
          <w:highlight w:val="none"/>
        </w:rPr>
        <w:t xml:space="preserve"> </w:t>
      </w:r>
      <w:r>
        <w:rPr>
          <w:rFonts w:eastAsia="仿宋_GB2312"/>
          <w:b/>
          <w:color w:val="auto"/>
          <w:sz w:val="28"/>
          <w:szCs w:val="28"/>
          <w:highlight w:val="none"/>
        </w:rPr>
        <w:t>评审表</w:t>
      </w:r>
    </w:p>
    <w:p>
      <w:pPr>
        <w:tabs>
          <w:tab w:val="left" w:pos="7665"/>
        </w:tabs>
        <w:spacing w:line="4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3.1</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资格及符合审查表</w:t>
      </w:r>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63"/>
        <w:gridCol w:w="4090"/>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85" w:type="pct"/>
            <w:gridSpan w:val="2"/>
            <w:tcBorders>
              <w:tl2br w:val="nil"/>
              <w:tr2bl w:val="nil"/>
            </w:tcBorders>
            <w:vAlign w:val="center"/>
          </w:tcPr>
          <w:p>
            <w:pPr>
              <w:spacing w:line="40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条款号</w:t>
            </w:r>
          </w:p>
        </w:tc>
        <w:tc>
          <w:tcPr>
            <w:tcW w:w="2272" w:type="pct"/>
            <w:tcBorders>
              <w:tl2br w:val="nil"/>
              <w:tr2bl w:val="nil"/>
            </w:tcBorders>
            <w:vAlign w:val="center"/>
          </w:tcPr>
          <w:p>
            <w:pPr>
              <w:spacing w:line="40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评审因素</w:t>
            </w:r>
          </w:p>
        </w:tc>
        <w:tc>
          <w:tcPr>
            <w:tcW w:w="1942" w:type="pct"/>
            <w:tcBorders>
              <w:tl2br w:val="nil"/>
              <w:tr2bl w:val="nil"/>
            </w:tcBorders>
            <w:vAlign w:val="center"/>
          </w:tcPr>
          <w:p>
            <w:pPr>
              <w:spacing w:line="40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restar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3.1.1</w:t>
            </w:r>
          </w:p>
        </w:tc>
        <w:tc>
          <w:tcPr>
            <w:tcW w:w="312" w:type="pct"/>
            <w:vMerge w:val="restar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资格评审标准</w:t>
            </w: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具有独立承担民事责任的能力</w:t>
            </w:r>
          </w:p>
        </w:tc>
        <w:tc>
          <w:tcPr>
            <w:tcW w:w="194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1.企业法人：提交“统一社会信用代码的营业执照”；</w:t>
            </w:r>
          </w:p>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2.事业法人：提交“统一社会信用代码的事业单位法人证书”；</w:t>
            </w:r>
          </w:p>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3.其他组织：提交“相关主管部门颁发的准许执业证明文件或其他证明材料”；</w:t>
            </w:r>
          </w:p>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自然人：提供“身份证明材料”。</w:t>
            </w:r>
          </w:p>
          <w:p>
            <w:pPr>
              <w:spacing w:line="400" w:lineRule="exact"/>
              <w:rPr>
                <w:rFonts w:ascii="仿宋_GB2312" w:hAnsi="仿宋_GB2312" w:eastAsia="仿宋_GB2312" w:cs="仿宋_GB2312"/>
                <w:color w:val="auto"/>
                <w:sz w:val="24"/>
                <w:highlight w:val="none"/>
              </w:rPr>
            </w:pPr>
            <w:r>
              <w:rPr>
                <w:rFonts w:ascii="仿宋" w:hAnsi="仿宋" w:eastAsia="仿宋"/>
                <w:b/>
                <w:bCs/>
                <w:color w:val="auto"/>
                <w:sz w:val="24"/>
                <w:highlight w:val="none"/>
              </w:rPr>
              <w:t>（提供</w:t>
            </w:r>
            <w:r>
              <w:rPr>
                <w:rFonts w:hint="eastAsia" w:ascii="仿宋" w:hAnsi="仿宋" w:eastAsia="仿宋"/>
                <w:b/>
                <w:bCs/>
                <w:color w:val="auto"/>
                <w:sz w:val="24"/>
                <w:highlight w:val="none"/>
              </w:rPr>
              <w:t>相应证明材料</w:t>
            </w:r>
            <w:r>
              <w:rPr>
                <w:rFonts w:ascii="仿宋" w:hAnsi="仿宋" w:eastAsia="仿宋"/>
                <w:b/>
                <w:bCs/>
                <w:color w:val="auto"/>
                <w:sz w:val="24"/>
                <w:highlight w:val="none"/>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具有良好的商业信誉和健全的财务会计制度</w:t>
            </w:r>
          </w:p>
        </w:tc>
        <w:tc>
          <w:tcPr>
            <w:tcW w:w="1942" w:type="pct"/>
            <w:vMerge w:val="restar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ascii="仿宋" w:hAnsi="仿宋" w:eastAsia="仿宋"/>
                <w:color w:val="auto"/>
                <w:sz w:val="24"/>
                <w:highlight w:val="none"/>
              </w:rPr>
              <w:t>提供承诺函（详见“第五章 响应文件格式”之《承诺函》，不需</w:t>
            </w:r>
            <w:r>
              <w:rPr>
                <w:rFonts w:hint="eastAsia" w:ascii="仿宋" w:hAnsi="仿宋" w:eastAsia="仿宋"/>
                <w:color w:val="auto"/>
                <w:sz w:val="24"/>
                <w:highlight w:val="none"/>
              </w:rPr>
              <w:t>再分别</w:t>
            </w:r>
            <w:r>
              <w:rPr>
                <w:rFonts w:ascii="仿宋" w:hAnsi="仿宋" w:eastAsia="仿宋"/>
                <w:color w:val="auto"/>
                <w:sz w:val="24"/>
                <w:highlight w:val="none"/>
              </w:rPr>
              <w:t>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具有履行合同所必需的设备和专业技术能力</w:t>
            </w:r>
          </w:p>
        </w:tc>
        <w:tc>
          <w:tcPr>
            <w:tcW w:w="194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具有依法缴纳税收和社会保障资金的良好记录</w:t>
            </w:r>
          </w:p>
        </w:tc>
        <w:tc>
          <w:tcPr>
            <w:tcW w:w="194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参加本次采购活动前三年内（2020年1月1日以来），</w:t>
            </w:r>
            <w:r>
              <w:rPr>
                <w:rFonts w:hint="eastAsia" w:ascii="仿宋_GB2312" w:hAnsi="仿宋_GB2312" w:eastAsia="仿宋_GB2312" w:cs="仿宋_GB2312"/>
                <w:color w:val="auto"/>
                <w:sz w:val="24"/>
                <w:highlight w:val="none"/>
                <w:lang w:eastAsia="zh-CN"/>
              </w:rPr>
              <w:t>在经营活动中没有重大违法记录</w:t>
            </w:r>
          </w:p>
        </w:tc>
        <w:tc>
          <w:tcPr>
            <w:tcW w:w="194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供应商单位及其现任法定代表人、主要负责人参加本次采购活动前三年内（2020年1月1日以来）不得具有行贿犯罪记录</w:t>
            </w:r>
          </w:p>
        </w:tc>
        <w:tc>
          <w:tcPr>
            <w:tcW w:w="194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供应商未被列入工商系统经营异常名录或严重违法失信企业名单或者人民法院公布的失信被执行人名单</w:t>
            </w:r>
          </w:p>
        </w:tc>
        <w:tc>
          <w:tcPr>
            <w:tcW w:w="194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法律、行政法规规定的其他条件</w:t>
            </w:r>
          </w:p>
        </w:tc>
        <w:tc>
          <w:tcPr>
            <w:tcW w:w="194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hint="eastAsia"/>
                <w:color w:val="FF0000"/>
                <w:lang w:eastAsia="zh-CN"/>
              </w:rPr>
            </w:pPr>
            <w:r>
              <w:rPr>
                <w:rFonts w:hint="eastAsia" w:ascii="仿宋_GB2312" w:hAnsi="仿宋_GB2312" w:eastAsia="仿宋_GB2312" w:cs="仿宋_GB2312"/>
                <w:color w:val="FF0000"/>
                <w:sz w:val="24"/>
                <w:highlight w:val="none"/>
                <w:lang w:eastAsia="zh-CN"/>
              </w:rPr>
              <w:t>具有国家行政主管部门颁发的工程施工总承包三级及以上资质；</w:t>
            </w:r>
          </w:p>
        </w:tc>
        <w:tc>
          <w:tcPr>
            <w:tcW w:w="1942" w:type="pct"/>
            <w:tcBorders>
              <w:tl2br w:val="nil"/>
              <w:tr2bl w:val="nil"/>
            </w:tcBorders>
            <w:vAlign w:val="center"/>
          </w:tcPr>
          <w:p>
            <w:pPr>
              <w:spacing w:line="400" w:lineRule="exact"/>
              <w:rPr>
                <w:rFonts w:hint="eastAsia" w:ascii="仿宋_GB2312" w:hAnsi="仿宋_GB2312" w:eastAsia="仿宋_GB2312" w:cs="仿宋_GB2312"/>
                <w:color w:val="FF0000"/>
                <w:sz w:val="24"/>
                <w:highlight w:val="none"/>
              </w:rPr>
            </w:pPr>
            <w:r>
              <w:rPr>
                <w:rFonts w:hint="default" w:ascii="仿宋_GB2312" w:hAnsi="仿宋_GB2312" w:eastAsia="仿宋_GB2312" w:cs="仿宋_GB2312"/>
                <w:color w:val="FF0000"/>
                <w:sz w:val="24"/>
                <w:highlight w:val="none"/>
              </w:rPr>
              <w:t>符合磋商文件的规定，提供资质证书复印件加盖公章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hint="eastAsia" w:ascii="仿宋_GB2312" w:hAnsi="仿宋_GB2312" w:eastAsia="仿宋_GB2312" w:cs="仿宋_GB2312"/>
                <w:color w:val="FF0000"/>
                <w:sz w:val="24"/>
                <w:highlight w:val="none"/>
              </w:rPr>
            </w:pPr>
            <w:r>
              <w:rPr>
                <w:rFonts w:hint="eastAsia" w:ascii="仿宋_GB2312" w:hAnsi="仿宋_GB2312" w:eastAsia="仿宋_GB2312" w:cs="仿宋_GB2312"/>
                <w:color w:val="FF0000"/>
                <w:sz w:val="24"/>
                <w:highlight w:val="none"/>
                <w:lang w:eastAsia="zh-CN"/>
              </w:rPr>
              <w:t>具备有效的安全生产许可证；</w:t>
            </w:r>
          </w:p>
        </w:tc>
        <w:tc>
          <w:tcPr>
            <w:tcW w:w="1942" w:type="pct"/>
            <w:tcBorders>
              <w:tl2br w:val="nil"/>
              <w:tr2bl w:val="nil"/>
            </w:tcBorders>
            <w:vAlign w:val="center"/>
          </w:tcPr>
          <w:p>
            <w:pPr>
              <w:spacing w:line="400" w:lineRule="exact"/>
              <w:rPr>
                <w:rFonts w:hint="default" w:ascii="仿宋" w:hAnsi="仿宋" w:eastAsia="仿宋" w:cs="Times New Roman"/>
                <w:color w:val="FF0000"/>
                <w:sz w:val="24"/>
                <w:highlight w:val="none"/>
              </w:rPr>
            </w:pPr>
            <w:r>
              <w:rPr>
                <w:rFonts w:hint="default" w:ascii="仿宋" w:hAnsi="仿宋" w:eastAsia="仿宋" w:cs="Times New Roman"/>
                <w:color w:val="FF0000"/>
                <w:sz w:val="24"/>
                <w:highlight w:val="none"/>
              </w:rPr>
              <w:t>符合磋商文件的规定，</w:t>
            </w:r>
            <w:r>
              <w:rPr>
                <w:rFonts w:hint="eastAsia" w:ascii="仿宋" w:hAnsi="仿宋" w:eastAsia="仿宋" w:cs="Times New Roman"/>
                <w:color w:val="FF0000"/>
                <w:sz w:val="24"/>
                <w:highlight w:val="none"/>
                <w:lang w:val="en-US" w:eastAsia="zh-CN"/>
              </w:rPr>
              <w:t>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FF0000"/>
                <w:sz w:val="24"/>
                <w:highlight w:val="none"/>
              </w:rPr>
            </w:pPr>
            <w:r>
              <w:rPr>
                <w:rFonts w:hint="eastAsia" w:ascii="仿宋_GB2312" w:hAnsi="仿宋_GB2312" w:eastAsia="仿宋_GB2312" w:cs="仿宋_GB2312"/>
                <w:color w:val="FF0000"/>
                <w:sz w:val="24"/>
                <w:highlight w:val="none"/>
                <w:lang w:eastAsia="zh-CN"/>
              </w:rPr>
              <w:t>项目经理：具有全国注册建造师（</w:t>
            </w:r>
            <w:r>
              <w:rPr>
                <w:rFonts w:hint="eastAsia" w:ascii="仿宋_GB2312" w:hAnsi="仿宋_GB2312" w:eastAsia="仿宋_GB2312" w:cs="仿宋_GB2312"/>
                <w:color w:val="FF0000"/>
                <w:sz w:val="24"/>
                <w:highlight w:val="none"/>
                <w:lang w:val="en-US" w:eastAsia="zh-CN"/>
              </w:rPr>
              <w:t>XX</w:t>
            </w:r>
            <w:r>
              <w:rPr>
                <w:rFonts w:hint="eastAsia" w:ascii="仿宋_GB2312" w:hAnsi="仿宋_GB2312" w:eastAsia="仿宋_GB2312" w:cs="仿宋_GB2312"/>
                <w:color w:val="FF0000"/>
                <w:sz w:val="24"/>
                <w:highlight w:val="none"/>
                <w:lang w:eastAsia="zh-CN"/>
              </w:rPr>
              <w:t>工程）二级及以上资格、具有行政主管部门颁发的安全生产考核合格B证；项目技术负责人：具有</w:t>
            </w:r>
            <w:r>
              <w:rPr>
                <w:rFonts w:hint="eastAsia" w:ascii="仿宋_GB2312" w:hAnsi="仿宋_GB2312" w:eastAsia="仿宋_GB2312" w:cs="仿宋_GB2312"/>
                <w:color w:val="FF0000"/>
                <w:sz w:val="24"/>
                <w:highlight w:val="none"/>
                <w:lang w:val="en-US" w:eastAsia="zh-CN"/>
              </w:rPr>
              <w:t>XX</w:t>
            </w:r>
            <w:r>
              <w:rPr>
                <w:rFonts w:hint="eastAsia" w:ascii="仿宋_GB2312" w:hAnsi="仿宋_GB2312" w:eastAsia="仿宋_GB2312" w:cs="仿宋_GB2312"/>
                <w:color w:val="FF0000"/>
                <w:sz w:val="24"/>
                <w:highlight w:val="none"/>
                <w:lang w:eastAsia="zh-CN"/>
              </w:rPr>
              <w:t>工程类专业中级及以上技术职称；</w:t>
            </w:r>
          </w:p>
        </w:tc>
        <w:tc>
          <w:tcPr>
            <w:tcW w:w="1942" w:type="pct"/>
            <w:tcBorders>
              <w:tl2br w:val="nil"/>
              <w:tr2bl w:val="nil"/>
            </w:tcBorders>
            <w:vAlign w:val="center"/>
          </w:tcPr>
          <w:p>
            <w:pPr>
              <w:spacing w:line="400" w:lineRule="exact"/>
              <w:rPr>
                <w:rFonts w:hint="default" w:ascii="仿宋" w:hAnsi="仿宋" w:eastAsia="仿宋" w:cs="Times New Roman"/>
                <w:color w:val="FF0000"/>
                <w:sz w:val="24"/>
                <w:highlight w:val="none"/>
                <w:lang w:val="en-US" w:eastAsia="zh-CN"/>
              </w:rPr>
            </w:pPr>
            <w:r>
              <w:rPr>
                <w:rFonts w:hint="default" w:ascii="仿宋" w:hAnsi="仿宋" w:eastAsia="仿宋" w:cs="Times New Roman"/>
                <w:color w:val="FF0000"/>
                <w:sz w:val="24"/>
                <w:highlight w:val="none"/>
              </w:rPr>
              <w:t>符合磋商文件的规定，</w:t>
            </w:r>
            <w:r>
              <w:rPr>
                <w:rFonts w:hint="eastAsia" w:ascii="仿宋" w:hAnsi="仿宋" w:eastAsia="仿宋" w:cs="Times New Roman"/>
                <w:color w:val="FF0000"/>
                <w:sz w:val="24"/>
                <w:highlight w:val="none"/>
                <w:lang w:val="en-US" w:eastAsia="zh-CN"/>
              </w:rPr>
              <w:t>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72" w:type="pct"/>
            <w:vMerge w:val="continue"/>
            <w:tcBorders>
              <w:tl2br w:val="nil"/>
              <w:tr2bl w:val="nil"/>
            </w:tcBorders>
            <w:vAlign w:val="center"/>
          </w:tcPr>
          <w:p>
            <w:pPr>
              <w:spacing w:line="400" w:lineRule="exact"/>
            </w:pPr>
          </w:p>
        </w:tc>
        <w:tc>
          <w:tcPr>
            <w:tcW w:w="312" w:type="pct"/>
            <w:vMerge w:val="continue"/>
            <w:tcBorders>
              <w:tl2br w:val="nil"/>
              <w:tr2bl w:val="nil"/>
            </w:tcBorders>
            <w:vAlign w:val="center"/>
          </w:tcPr>
          <w:p>
            <w:pPr>
              <w:spacing w:line="400" w:lineRule="exact"/>
            </w:pPr>
          </w:p>
        </w:tc>
        <w:tc>
          <w:tcPr>
            <w:tcW w:w="2272" w:type="pct"/>
            <w:tcBorders>
              <w:tl2br w:val="nil"/>
              <w:tr2bl w:val="nil"/>
            </w:tcBorders>
            <w:vAlign w:val="center"/>
          </w:tcPr>
          <w:p>
            <w:pPr>
              <w:spacing w:line="400" w:lineRule="exact"/>
              <w:rPr>
                <w:rFonts w:hint="eastAsia" w:ascii="仿宋_GB2312" w:hAnsi="仿宋_GB2312" w:eastAsia="仿宋_GB2312" w:cs="仿宋_GB2312"/>
                <w:color w:val="FF0000"/>
                <w:sz w:val="24"/>
                <w:highlight w:val="none"/>
                <w:lang w:eastAsia="zh-CN"/>
              </w:rPr>
            </w:pPr>
            <w:r>
              <w:rPr>
                <w:rFonts w:hint="eastAsia" w:ascii="仿宋_GB2312" w:hAnsi="仿宋_GB2312" w:eastAsia="仿宋_GB2312" w:cs="仿宋_GB2312"/>
                <w:color w:val="FF0000"/>
                <w:sz w:val="24"/>
                <w:highlight w:val="none"/>
                <w:lang w:eastAsia="zh-CN"/>
              </w:rPr>
              <w:t>企业注册地不在四川省行政区域内的省外企业须提供在有效期内的四川省住房和城乡建设厅官网已公开的入川信息网页截图</w:t>
            </w:r>
          </w:p>
        </w:tc>
        <w:tc>
          <w:tcPr>
            <w:tcW w:w="1942" w:type="pct"/>
            <w:tcBorders>
              <w:tl2br w:val="nil"/>
              <w:tr2bl w:val="nil"/>
            </w:tcBorders>
            <w:vAlign w:val="center"/>
          </w:tcPr>
          <w:p>
            <w:pPr>
              <w:spacing w:line="400" w:lineRule="exact"/>
              <w:rPr>
                <w:rFonts w:hint="eastAsia" w:ascii="仿宋_GB2312" w:hAnsi="仿宋_GB2312" w:eastAsia="仿宋_GB2312" w:cs="仿宋_GB2312"/>
                <w:color w:val="FF0000"/>
                <w:sz w:val="24"/>
                <w:highlight w:val="none"/>
                <w:lang w:eastAsia="zh-CN"/>
              </w:rPr>
            </w:pPr>
            <w:r>
              <w:rPr>
                <w:rFonts w:hint="default" w:ascii="仿宋" w:hAnsi="仿宋" w:eastAsia="仿宋" w:cs="Times New Roman"/>
                <w:color w:val="FF0000"/>
                <w:sz w:val="24"/>
                <w:highlight w:val="none"/>
              </w:rPr>
              <w:t>符合磋商文件的规定，</w:t>
            </w:r>
            <w:r>
              <w:rPr>
                <w:rFonts w:hint="eastAsia" w:ascii="仿宋" w:hAnsi="仿宋" w:eastAsia="仿宋" w:cs="Times New Roman"/>
                <w:color w:val="FF0000"/>
                <w:sz w:val="24"/>
                <w:highlight w:val="none"/>
                <w:lang w:val="en-US" w:eastAsia="zh-CN"/>
              </w:rPr>
              <w:t>提供入川信息网页截图复印件加盖公章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pStyle w:val="85"/>
              <w:snapToGrid w:val="0"/>
              <w:spacing w:line="480" w:lineRule="exact"/>
              <w:ind w:firstLine="0" w:firstLineChars="0"/>
              <w:jc w:val="left"/>
              <w:textAlignment w:val="baseline"/>
              <w:rPr>
                <w:rFonts w:ascii="仿宋_GB2312" w:hAnsi="仿宋_GB2312" w:eastAsia="仿宋_GB2312" w:cs="仿宋_GB2312"/>
                <w:color w:val="auto"/>
                <w:sz w:val="24"/>
                <w:highlight w:val="none"/>
                <w:lang w:eastAsia="zh-CN" w:bidi="ar-SA"/>
              </w:rPr>
            </w:pPr>
            <w:r>
              <w:rPr>
                <w:rFonts w:hint="default" w:ascii="仿宋_GB2312" w:hAnsi="仿宋_GB2312" w:eastAsia="仿宋_GB2312" w:cs="仿宋_GB2312"/>
                <w:color w:val="auto"/>
                <w:sz w:val="24"/>
                <w:highlight w:val="none"/>
                <w:lang w:val="en-US" w:eastAsia="zh-CN" w:bidi="ar-SA"/>
              </w:rPr>
              <w:t>其他要求（法定代表人/单位负责人授权书或法定代表人/单位负责人身份证明文件</w:t>
            </w:r>
            <w:r>
              <w:rPr>
                <w:rFonts w:hint="eastAsia" w:ascii="仿宋_GB2312" w:hAnsi="仿宋_GB2312" w:eastAsia="仿宋_GB2312" w:cs="仿宋_GB2312"/>
                <w:color w:val="auto"/>
                <w:sz w:val="24"/>
                <w:highlight w:val="none"/>
                <w:lang w:val="en-US" w:eastAsia="zh-CN" w:bidi="ar-SA"/>
              </w:rPr>
              <w:t>）</w:t>
            </w:r>
          </w:p>
        </w:tc>
        <w:tc>
          <w:tcPr>
            <w:tcW w:w="1942" w:type="pct"/>
            <w:tcBorders>
              <w:tl2br w:val="nil"/>
              <w:tr2bl w:val="nil"/>
            </w:tcBorders>
            <w:vAlign w:val="center"/>
          </w:tcPr>
          <w:p>
            <w:pPr>
              <w:spacing w:line="400" w:lineRule="exact"/>
              <w:rPr>
                <w:rFonts w:hint="default" w:ascii="仿宋" w:hAnsi="仿宋" w:eastAsia="仿宋" w:cs="Times New Roman"/>
                <w:color w:val="auto"/>
                <w:sz w:val="24"/>
                <w:highlight w:val="none"/>
              </w:rPr>
            </w:pPr>
            <w:r>
              <w:rPr>
                <w:rFonts w:hint="default" w:ascii="仿宋" w:hAnsi="仿宋" w:eastAsia="仿宋" w:cs="Times New Roman"/>
                <w:color w:val="auto"/>
                <w:sz w:val="24"/>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restar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3.1.2</w:t>
            </w:r>
          </w:p>
        </w:tc>
        <w:tc>
          <w:tcPr>
            <w:tcW w:w="312" w:type="pct"/>
            <w:vMerge w:val="restar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符合性评审标准</w:t>
            </w: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响应文件份数</w:t>
            </w:r>
          </w:p>
        </w:tc>
        <w:tc>
          <w:tcPr>
            <w:tcW w:w="1942" w:type="pct"/>
            <w:tcBorders>
              <w:tl2br w:val="nil"/>
              <w:tr2bl w:val="nil"/>
            </w:tcBorders>
            <w:vAlign w:val="center"/>
          </w:tcPr>
          <w:p>
            <w:pPr>
              <w:spacing w:line="400" w:lineRule="exact"/>
              <w:rPr>
                <w:rFonts w:ascii="仿宋" w:hAnsi="仿宋" w:eastAsia="仿宋" w:cs="Times New Roman"/>
                <w:color w:val="auto"/>
                <w:sz w:val="24"/>
                <w:highlight w:val="none"/>
              </w:rPr>
            </w:pPr>
            <w:r>
              <w:rPr>
                <w:rFonts w:hint="default" w:ascii="仿宋" w:hAnsi="仿宋" w:eastAsia="仿宋" w:cs="Times New Roman"/>
                <w:color w:val="auto"/>
                <w:sz w:val="24"/>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响应文件的格式、语言、计量单位、报价货币、知识产权、响应有效期</w:t>
            </w:r>
          </w:p>
        </w:tc>
        <w:tc>
          <w:tcPr>
            <w:tcW w:w="1942" w:type="pct"/>
            <w:tcBorders>
              <w:tl2br w:val="nil"/>
              <w:tr2bl w:val="nil"/>
            </w:tcBorders>
            <w:vAlign w:val="center"/>
          </w:tcPr>
          <w:p>
            <w:pPr>
              <w:spacing w:line="400" w:lineRule="exact"/>
              <w:rPr>
                <w:rFonts w:ascii="仿宋" w:hAnsi="仿宋" w:eastAsia="仿宋" w:cs="Times New Roman"/>
                <w:color w:val="auto"/>
                <w:sz w:val="24"/>
                <w:highlight w:val="none"/>
              </w:rPr>
            </w:pPr>
            <w:r>
              <w:rPr>
                <w:rFonts w:hint="default" w:ascii="仿宋" w:hAnsi="仿宋" w:eastAsia="仿宋" w:cs="Times New Roman"/>
                <w:color w:val="auto"/>
                <w:sz w:val="24"/>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w:t>
            </w:r>
          </w:p>
        </w:tc>
        <w:tc>
          <w:tcPr>
            <w:tcW w:w="1942" w:type="pct"/>
            <w:tcBorders>
              <w:tl2br w:val="nil"/>
              <w:tr2bl w:val="nil"/>
            </w:tcBorders>
            <w:vAlign w:val="center"/>
          </w:tcPr>
          <w:p>
            <w:pPr>
              <w:spacing w:line="400" w:lineRule="exact"/>
              <w:rPr>
                <w:rFonts w:ascii="仿宋" w:hAnsi="仿宋" w:eastAsia="仿宋" w:cs="Times New Roman"/>
                <w:color w:val="auto"/>
                <w:sz w:val="24"/>
                <w:highlight w:val="none"/>
              </w:rPr>
            </w:pPr>
            <w:r>
              <w:rPr>
                <w:rFonts w:hint="default" w:ascii="仿宋" w:hAnsi="仿宋" w:eastAsia="仿宋" w:cs="Times New Roman"/>
                <w:color w:val="auto"/>
                <w:sz w:val="24"/>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工程量清单</w:t>
            </w:r>
          </w:p>
        </w:tc>
        <w:tc>
          <w:tcPr>
            <w:tcW w:w="1942" w:type="pct"/>
            <w:tcBorders>
              <w:tl2br w:val="nil"/>
              <w:tr2bl w:val="nil"/>
            </w:tcBorders>
            <w:vAlign w:val="center"/>
          </w:tcPr>
          <w:p>
            <w:pPr>
              <w:spacing w:line="400" w:lineRule="exact"/>
              <w:rPr>
                <w:rFonts w:ascii="仿宋" w:hAnsi="仿宋" w:eastAsia="仿宋" w:cs="Times New Roman"/>
                <w:color w:val="auto"/>
                <w:sz w:val="24"/>
                <w:highlight w:val="none"/>
              </w:rPr>
            </w:pPr>
            <w:r>
              <w:rPr>
                <w:rFonts w:hint="default" w:ascii="仿宋" w:hAnsi="仿宋" w:eastAsia="仿宋" w:cs="Times New Roman"/>
                <w:color w:val="auto"/>
                <w:sz w:val="24"/>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vMerge w:val="continue"/>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工期</w:t>
            </w:r>
          </w:p>
        </w:tc>
        <w:tc>
          <w:tcPr>
            <w:tcW w:w="1942" w:type="pct"/>
            <w:tcBorders>
              <w:tl2br w:val="nil"/>
              <w:tr2bl w:val="nil"/>
            </w:tcBorders>
            <w:vAlign w:val="center"/>
          </w:tcPr>
          <w:p>
            <w:pPr>
              <w:spacing w:line="400" w:lineRule="exact"/>
              <w:rPr>
                <w:rFonts w:ascii="仿宋" w:hAnsi="仿宋" w:eastAsia="仿宋" w:cs="Times New Roman"/>
                <w:color w:val="auto"/>
                <w:sz w:val="24"/>
                <w:highlight w:val="none"/>
              </w:rPr>
            </w:pPr>
            <w:r>
              <w:rPr>
                <w:rFonts w:hint="default" w:ascii="仿宋" w:hAnsi="仿宋" w:eastAsia="仿宋" w:cs="Times New Roman"/>
                <w:color w:val="auto"/>
                <w:sz w:val="24"/>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31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p>
        </w:tc>
        <w:tc>
          <w:tcPr>
            <w:tcW w:w="2272" w:type="pct"/>
            <w:tcBorders>
              <w:tl2br w:val="nil"/>
              <w:tr2bl w:val="nil"/>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其他实质性要求</w:t>
            </w:r>
          </w:p>
        </w:tc>
        <w:tc>
          <w:tcPr>
            <w:tcW w:w="1942" w:type="pct"/>
            <w:tcBorders>
              <w:tl2br w:val="nil"/>
              <w:tr2bl w:val="nil"/>
            </w:tcBorders>
            <w:vAlign w:val="center"/>
          </w:tcPr>
          <w:p>
            <w:pPr>
              <w:spacing w:line="400" w:lineRule="exact"/>
              <w:rPr>
                <w:rFonts w:ascii="仿宋" w:hAnsi="仿宋" w:eastAsia="仿宋" w:cs="Times New Roman"/>
                <w:color w:val="auto"/>
                <w:sz w:val="24"/>
                <w:highlight w:val="none"/>
              </w:rPr>
            </w:pPr>
            <w:r>
              <w:rPr>
                <w:rFonts w:hint="default" w:ascii="仿宋" w:hAnsi="仿宋" w:eastAsia="仿宋" w:cs="Times New Roman"/>
                <w:color w:val="auto"/>
                <w:sz w:val="24"/>
                <w:highlight w:val="none"/>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rPr>
        <w:tc>
          <w:tcPr>
            <w:tcW w:w="5000" w:type="pct"/>
            <w:gridSpan w:val="4"/>
            <w:tcBorders>
              <w:tl2br w:val="nil"/>
              <w:tr2bl w:val="nil"/>
            </w:tcBorders>
            <w:vAlign w:val="center"/>
          </w:tcPr>
          <w:p>
            <w:pPr>
              <w:spacing w:line="400" w:lineRule="exact"/>
              <w:ind w:firstLine="482" w:firstLineChars="200"/>
              <w:rPr>
                <w:rFonts w:ascii="仿宋" w:hAnsi="仿宋" w:eastAsia="仿宋"/>
                <w:bCs/>
                <w:color w:val="auto"/>
                <w:sz w:val="24"/>
                <w:highlight w:val="none"/>
              </w:rPr>
            </w:pPr>
            <w:r>
              <w:rPr>
                <w:rFonts w:ascii="仿宋" w:hAnsi="仿宋" w:eastAsia="仿宋"/>
                <w:b/>
                <w:bCs/>
                <w:color w:val="auto"/>
                <w:kern w:val="0"/>
                <w:sz w:val="24"/>
                <w:highlight w:val="none"/>
                <w:lang w:bidi="ar"/>
              </w:rPr>
              <w:t>注：</w:t>
            </w:r>
            <w:r>
              <w:rPr>
                <w:rFonts w:ascii="仿宋" w:hAnsi="仿宋" w:eastAsia="仿宋"/>
                <w:color w:val="auto"/>
                <w:kern w:val="0"/>
                <w:sz w:val="24"/>
                <w:highlight w:val="none"/>
                <w:lang w:bidi="ar"/>
              </w:rPr>
              <w:t>1.</w:t>
            </w:r>
            <w:r>
              <w:rPr>
                <w:rFonts w:ascii="仿宋" w:hAnsi="仿宋" w:eastAsia="仿宋"/>
                <w:bCs/>
                <w:color w:val="auto"/>
                <w:sz w:val="24"/>
                <w:highlight w:val="none"/>
              </w:rPr>
              <w:t>资格性审查结束后，磋商小组应当出具资格性审查报告，没有通过资格审查的供应商，磋商小组应当在资格审查报告中说明原因。</w:t>
            </w:r>
          </w:p>
          <w:p>
            <w:pPr>
              <w:spacing w:line="400" w:lineRule="exact"/>
              <w:ind w:firstLine="480" w:firstLineChars="200"/>
              <w:jc w:val="left"/>
              <w:rPr>
                <w:rFonts w:ascii="仿宋" w:hAnsi="仿宋" w:eastAsia="仿宋"/>
                <w:bCs/>
                <w:color w:val="auto"/>
                <w:sz w:val="24"/>
                <w:highlight w:val="none"/>
              </w:rPr>
            </w:pPr>
            <w:r>
              <w:rPr>
                <w:rFonts w:hint="eastAsia" w:ascii="仿宋" w:hAnsi="仿宋" w:eastAsia="仿宋"/>
                <w:bCs/>
                <w:color w:val="auto"/>
                <w:sz w:val="24"/>
                <w:highlight w:val="none"/>
              </w:rPr>
              <w:t>2</w:t>
            </w:r>
            <w:r>
              <w:rPr>
                <w:rFonts w:ascii="仿宋" w:hAnsi="仿宋" w:eastAsia="仿宋"/>
                <w:bCs/>
                <w:color w:val="auto"/>
                <w:sz w:val="24"/>
                <w:highlight w:val="none"/>
              </w:rPr>
              <w:t>.</w:t>
            </w:r>
            <w:r>
              <w:rPr>
                <w:rFonts w:hint="eastAsia" w:ascii="仿宋" w:hAnsi="仿宋" w:eastAsia="仿宋"/>
                <w:bCs/>
                <w:color w:val="auto"/>
                <w:sz w:val="24"/>
                <w:highlight w:val="none"/>
              </w:rPr>
              <w:t>磋商小组</w:t>
            </w:r>
            <w:r>
              <w:rPr>
                <w:rFonts w:ascii="仿宋" w:hAnsi="仿宋" w:eastAsia="仿宋"/>
                <w:bCs/>
                <w:color w:val="auto"/>
                <w:sz w:val="24"/>
                <w:highlight w:val="none"/>
              </w:rPr>
              <w:t>宣布未通过资格性审查的供应商名单时，采购代理机构应当告知供应商未通过审查的原因。</w:t>
            </w:r>
          </w:p>
          <w:p>
            <w:pPr>
              <w:spacing w:line="40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3</w:t>
            </w:r>
            <w:r>
              <w:rPr>
                <w:rFonts w:ascii="仿宋" w:hAnsi="仿宋" w:eastAsia="仿宋"/>
                <w:bCs/>
                <w:color w:val="auto"/>
                <w:sz w:val="24"/>
                <w:highlight w:val="none"/>
              </w:rPr>
              <w:t>.磋商小组应依据磋商文件规定的所有实质性要求，对符合资格的响应文件进行符合性审查，以确定参加磋商的供应商名单。</w:t>
            </w:r>
          </w:p>
          <w:p>
            <w:pPr>
              <w:spacing w:line="400" w:lineRule="exact"/>
              <w:ind w:firstLine="480" w:firstLineChars="200"/>
              <w:rPr>
                <w:rFonts w:ascii="仿宋_GB2312" w:hAnsi="仿宋_GB2312" w:eastAsia="仿宋_GB2312" w:cs="仿宋_GB2312"/>
                <w:color w:val="auto"/>
                <w:sz w:val="24"/>
                <w:highlight w:val="none"/>
              </w:rPr>
            </w:pPr>
            <w:r>
              <w:rPr>
                <w:rFonts w:ascii="仿宋" w:hAnsi="仿宋" w:eastAsia="仿宋"/>
                <w:color w:val="auto"/>
                <w:sz w:val="24"/>
                <w:highlight w:val="none"/>
              </w:rPr>
              <w:t>4.响应文件与磋商文件有实质性负偏离的。实质性负偏离是指磋商文件虽然没有列明为实质性要求，但供应商的响应文件与磋商文件有重大偏离，且无法满足项目基本需要。磋商小组应当基于自身专业知识和项目的有效实施的原则进行评判，磋商小组认定供应商的响应文件有实质性负偏离的，应当说明原因。</w:t>
            </w:r>
          </w:p>
        </w:tc>
      </w:tr>
    </w:tbl>
    <w:p>
      <w:pPr>
        <w:pStyle w:val="2"/>
        <w:spacing w:line="240" w:lineRule="auto"/>
        <w:rPr>
          <w:color w:val="auto"/>
          <w:highlight w:val="none"/>
        </w:rPr>
      </w:pPr>
    </w:p>
    <w:p>
      <w:pPr>
        <w:spacing w:line="480" w:lineRule="exact"/>
        <w:ind w:firstLine="562" w:firstLineChars="200"/>
        <w:rPr>
          <w:rFonts w:hint="eastAsia" w:ascii="仿宋_GB2312" w:hAnsi="仿宋_GB2312" w:eastAsia="仿宋_GB2312" w:cs="仿宋_GB2312"/>
          <w:b/>
          <w:color w:val="auto"/>
          <w:sz w:val="28"/>
          <w:szCs w:val="28"/>
          <w:highlight w:val="none"/>
        </w:rPr>
      </w:pPr>
    </w:p>
    <w:p>
      <w:pPr>
        <w:spacing w:line="480" w:lineRule="exact"/>
        <w:ind w:firstLine="562" w:firstLineChars="200"/>
        <w:rPr>
          <w:rFonts w:hint="eastAsia" w:ascii="仿宋_GB2312" w:hAnsi="仿宋_GB2312" w:eastAsia="仿宋_GB2312" w:cs="仿宋_GB2312"/>
          <w:b/>
          <w:color w:val="auto"/>
          <w:sz w:val="28"/>
          <w:szCs w:val="28"/>
          <w:highlight w:val="none"/>
        </w:rPr>
      </w:pPr>
    </w:p>
    <w:p>
      <w:pPr>
        <w:spacing w:line="480" w:lineRule="exact"/>
        <w:ind w:firstLine="562" w:firstLineChars="200"/>
        <w:rPr>
          <w:rFonts w:hint="eastAsia" w:ascii="仿宋_GB2312" w:hAnsi="仿宋_GB2312" w:eastAsia="仿宋_GB2312" w:cs="仿宋_GB2312"/>
          <w:b/>
          <w:color w:val="auto"/>
          <w:sz w:val="28"/>
          <w:szCs w:val="28"/>
          <w:highlight w:val="none"/>
        </w:rPr>
      </w:pPr>
    </w:p>
    <w:p>
      <w:pPr>
        <w:pStyle w:val="2"/>
        <w:rPr>
          <w:rFonts w:hint="eastAsia" w:ascii="仿宋_GB2312" w:hAnsi="仿宋_GB2312" w:eastAsia="仿宋_GB2312" w:cs="仿宋_GB2312"/>
          <w:b/>
          <w:color w:val="auto"/>
          <w:sz w:val="28"/>
          <w:szCs w:val="28"/>
          <w:highlight w:val="none"/>
        </w:rPr>
      </w:pPr>
    </w:p>
    <w:p>
      <w:pPr>
        <w:pStyle w:val="30"/>
        <w:rPr>
          <w:rFonts w:hint="eastAsia" w:ascii="仿宋_GB2312" w:hAnsi="仿宋_GB2312" w:eastAsia="仿宋_GB2312" w:cs="仿宋_GB2312"/>
          <w:b/>
          <w:color w:val="auto"/>
          <w:sz w:val="28"/>
          <w:szCs w:val="28"/>
          <w:highlight w:val="none"/>
        </w:rPr>
      </w:pPr>
    </w:p>
    <w:p>
      <w:pPr>
        <w:rPr>
          <w:rFonts w:hint="eastAsia" w:ascii="仿宋_GB2312" w:hAnsi="仿宋_GB2312" w:eastAsia="仿宋_GB2312" w:cs="仿宋_GB2312"/>
          <w:b/>
          <w:color w:val="auto"/>
          <w:sz w:val="28"/>
          <w:szCs w:val="28"/>
          <w:highlight w:val="none"/>
        </w:rPr>
      </w:pPr>
    </w:p>
    <w:p>
      <w:pPr>
        <w:pStyle w:val="2"/>
        <w:rPr>
          <w:rFonts w:hint="eastAsia" w:ascii="仿宋_GB2312" w:hAnsi="仿宋_GB2312" w:eastAsia="仿宋_GB2312" w:cs="仿宋_GB2312"/>
          <w:b/>
          <w:color w:val="auto"/>
          <w:sz w:val="28"/>
          <w:szCs w:val="28"/>
          <w:highlight w:val="none"/>
        </w:rPr>
      </w:pPr>
    </w:p>
    <w:p>
      <w:pPr>
        <w:pStyle w:val="30"/>
        <w:rPr>
          <w:rFonts w:hint="eastAsia"/>
        </w:rPr>
      </w:pPr>
    </w:p>
    <w:p>
      <w:pPr>
        <w:spacing w:line="480" w:lineRule="exact"/>
        <w:ind w:firstLine="562" w:firstLineChars="200"/>
        <w:rPr>
          <w:rFonts w:hint="eastAsia" w:ascii="仿宋_GB2312" w:hAnsi="仿宋_GB2312" w:eastAsia="仿宋_GB2312" w:cs="仿宋_GB2312"/>
          <w:b/>
          <w:color w:val="auto"/>
          <w:sz w:val="28"/>
          <w:szCs w:val="28"/>
          <w:highlight w:val="none"/>
        </w:rPr>
      </w:pPr>
    </w:p>
    <w:p>
      <w:pPr>
        <w:spacing w:line="480" w:lineRule="exact"/>
        <w:ind w:firstLine="562" w:firstLineChars="200"/>
        <w:rPr>
          <w:rFonts w:hint="eastAsia" w:ascii="仿宋_GB2312" w:hAnsi="仿宋_GB2312" w:eastAsia="仿宋_GB2312" w:cs="仿宋_GB2312"/>
          <w:b/>
          <w:color w:val="auto"/>
          <w:sz w:val="28"/>
          <w:szCs w:val="28"/>
          <w:highlight w:val="none"/>
        </w:rPr>
      </w:pPr>
    </w:p>
    <w:p>
      <w:pPr>
        <w:spacing w:line="48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3.2</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color w:val="auto"/>
          <w:sz w:val="28"/>
          <w:szCs w:val="28"/>
          <w:highlight w:val="none"/>
        </w:rPr>
        <w:t>综合评分表</w:t>
      </w:r>
    </w:p>
    <w:p>
      <w:pPr>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本次综合评分的因素详见综合评分明细表。</w:t>
      </w:r>
    </w:p>
    <w:p>
      <w:pPr>
        <w:spacing w:line="48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综合评分明细表</w:t>
      </w:r>
    </w:p>
    <w:tbl>
      <w:tblPr>
        <w:tblStyle w:val="32"/>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2"/>
        <w:gridCol w:w="3295"/>
        <w:gridCol w:w="59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条款号</w:t>
            </w:r>
          </w:p>
        </w:tc>
        <w:tc>
          <w:tcPr>
            <w:tcW w:w="32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条款内容</w:t>
            </w:r>
          </w:p>
        </w:tc>
        <w:tc>
          <w:tcPr>
            <w:tcW w:w="5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3.2.1</w:t>
            </w:r>
          </w:p>
        </w:tc>
        <w:tc>
          <w:tcPr>
            <w:tcW w:w="32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分值构成</w:t>
            </w:r>
          </w:p>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（总分100分）</w:t>
            </w:r>
          </w:p>
        </w:tc>
        <w:tc>
          <w:tcPr>
            <w:tcW w:w="59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w:t>
            </w:r>
            <w:r>
              <w:rPr>
                <w:rFonts w:hint="eastAsia" w:ascii="仿宋_GB2312" w:hAnsi="仿宋_GB2312" w:eastAsia="仿宋_GB2312" w:cs="仿宋_GB2312"/>
                <w:color w:val="auto"/>
                <w:kern w:val="0"/>
                <w:sz w:val="24"/>
                <w:highlight w:val="none"/>
                <w:u w:val="none"/>
                <w:lang w:val="en-US" w:eastAsia="zh-CN"/>
              </w:rPr>
              <w:t>50</w:t>
            </w:r>
            <w:r>
              <w:rPr>
                <w:rFonts w:hint="eastAsia" w:ascii="仿宋_GB2312" w:hAnsi="仿宋_GB2312" w:eastAsia="仿宋_GB2312" w:cs="仿宋_GB2312"/>
                <w:color w:val="auto"/>
                <w:sz w:val="24"/>
                <w:highlight w:val="none"/>
              </w:rPr>
              <w:t>分</w:t>
            </w:r>
          </w:p>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施工组织设计</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u w:val="none"/>
                <w:lang w:val="en-US" w:eastAsia="zh-CN"/>
              </w:rPr>
              <w:t>28</w:t>
            </w:r>
            <w:r>
              <w:rPr>
                <w:rFonts w:hint="eastAsia" w:ascii="仿宋_GB2312" w:hAnsi="仿宋_GB2312" w:eastAsia="仿宋_GB2312" w:cs="仿宋_GB2312"/>
                <w:color w:val="auto"/>
                <w:sz w:val="24"/>
                <w:highlight w:val="none"/>
              </w:rPr>
              <w:t>分</w:t>
            </w:r>
          </w:p>
          <w:p>
            <w:pPr>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人员配置：</w:t>
            </w:r>
            <w:r>
              <w:rPr>
                <w:rFonts w:hint="eastAsia" w:ascii="仿宋_GB2312" w:hAnsi="仿宋_GB2312" w:eastAsia="仿宋_GB2312" w:cs="仿宋_GB2312"/>
                <w:color w:val="auto"/>
                <w:kern w:val="0"/>
                <w:sz w:val="24"/>
                <w:highlight w:val="none"/>
                <w:u w:val="none"/>
                <w:lang w:val="en-US" w:eastAsia="zh-CN"/>
              </w:rPr>
              <w:t>7</w:t>
            </w:r>
            <w:r>
              <w:rPr>
                <w:rFonts w:hint="eastAsia" w:ascii="仿宋_GB2312" w:hAnsi="仿宋_GB2312" w:eastAsia="仿宋_GB2312" w:cs="仿宋_GB2312"/>
                <w:color w:val="auto"/>
                <w:kern w:val="0"/>
                <w:sz w:val="24"/>
                <w:highlight w:val="none"/>
              </w:rPr>
              <w:t>分</w:t>
            </w:r>
          </w:p>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类似业绩</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u w:val="none"/>
              </w:rPr>
              <w:t>15</w:t>
            </w:r>
            <w:r>
              <w:rPr>
                <w:rFonts w:hint="eastAsia" w:ascii="仿宋_GB2312" w:hAnsi="仿宋_GB2312" w:eastAsia="仿宋_GB2312" w:cs="仿宋_GB2312"/>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2"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条款号</w:t>
            </w:r>
          </w:p>
        </w:tc>
        <w:tc>
          <w:tcPr>
            <w:tcW w:w="3295" w:type="dxa"/>
            <w:vAlign w:val="center"/>
          </w:tcPr>
          <w:p>
            <w:pPr>
              <w:spacing w:line="40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评分因素</w:t>
            </w:r>
          </w:p>
        </w:tc>
        <w:tc>
          <w:tcPr>
            <w:tcW w:w="5917" w:type="dxa"/>
            <w:vAlign w:val="center"/>
          </w:tcPr>
          <w:p>
            <w:pPr>
              <w:spacing w:line="400" w:lineRule="exact"/>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012"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3.2.2（1）</w:t>
            </w:r>
          </w:p>
        </w:tc>
        <w:tc>
          <w:tcPr>
            <w:tcW w:w="3295" w:type="dxa"/>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报价（</w:t>
            </w:r>
            <w:r>
              <w:rPr>
                <w:rFonts w:hint="eastAsia" w:ascii="仿宋_GB2312" w:hAnsi="仿宋_GB2312" w:eastAsia="仿宋_GB2312" w:cs="仿宋_GB2312"/>
                <w:color w:val="auto"/>
                <w:sz w:val="24"/>
                <w:highlight w:val="none"/>
                <w:lang w:val="en-US" w:eastAsia="zh-CN"/>
              </w:rPr>
              <w:t>50</w:t>
            </w:r>
            <w:r>
              <w:rPr>
                <w:rFonts w:hint="eastAsia" w:ascii="仿宋_GB2312" w:hAnsi="仿宋_GB2312" w:eastAsia="仿宋_GB2312" w:cs="仿宋_GB2312"/>
                <w:color w:val="auto"/>
                <w:sz w:val="24"/>
                <w:highlight w:val="none"/>
              </w:rPr>
              <w:t>分）</w:t>
            </w:r>
          </w:p>
        </w:tc>
        <w:tc>
          <w:tcPr>
            <w:tcW w:w="5917" w:type="dxa"/>
            <w:vAlign w:val="top"/>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磋商报价得分=（磋商基准价/最后磋商报价）×</w:t>
            </w:r>
            <w:r>
              <w:rPr>
                <w:rFonts w:hint="eastAsia" w:ascii="仿宋_GB2312" w:hAnsi="仿宋_GB2312" w:eastAsia="仿宋_GB2312" w:cs="仿宋_GB2312"/>
                <w:color w:val="auto"/>
                <w:sz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12"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3.2.2（2）</w:t>
            </w:r>
          </w:p>
        </w:tc>
        <w:tc>
          <w:tcPr>
            <w:tcW w:w="3295" w:type="dxa"/>
            <w:vAlign w:val="center"/>
          </w:tcPr>
          <w:p>
            <w:pPr>
              <w:widowControl/>
              <w:spacing w:line="400" w:lineRule="exact"/>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施工组织设计（</w:t>
            </w:r>
            <w:r>
              <w:rPr>
                <w:rFonts w:hint="eastAsia" w:ascii="仿宋_GB2312" w:hAnsi="仿宋_GB2312" w:eastAsia="仿宋_GB2312" w:cs="仿宋_GB2312"/>
                <w:color w:val="auto"/>
                <w:kern w:val="0"/>
                <w:sz w:val="24"/>
                <w:highlight w:val="none"/>
                <w:lang w:val="en-US" w:eastAsia="zh-CN"/>
              </w:rPr>
              <w:t>28</w:t>
            </w:r>
            <w:r>
              <w:rPr>
                <w:rFonts w:hint="eastAsia" w:ascii="仿宋_GB2312" w:hAnsi="仿宋_GB2312" w:eastAsia="仿宋_GB2312" w:cs="仿宋_GB2312"/>
                <w:color w:val="auto"/>
                <w:kern w:val="0"/>
                <w:sz w:val="24"/>
                <w:highlight w:val="none"/>
              </w:rPr>
              <w:t>分）</w:t>
            </w:r>
          </w:p>
        </w:tc>
        <w:tc>
          <w:tcPr>
            <w:tcW w:w="5917"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仿宋_GB2312" w:hAnsi="仿宋_GB2312" w:eastAsia="仿宋_GB2312" w:cs="仿宋_GB2312"/>
                <w:color w:val="auto"/>
                <w:sz w:val="24"/>
                <w:highlight w:val="none"/>
              </w:rPr>
              <w:t>供应商提供的施工组织设计方案包含：进度计划、质量保证措施、安全保证措施、资源配置计划、环保文明措施、应急预案、施工工艺内容且响应磋商文件的得</w:t>
            </w:r>
            <w:r>
              <w:rPr>
                <w:rFonts w:hint="eastAsia" w:ascii="仿宋_GB2312" w:hAnsi="仿宋_GB2312" w:eastAsia="仿宋_GB2312" w:cs="仿宋_GB2312"/>
                <w:color w:val="auto"/>
                <w:sz w:val="24"/>
                <w:highlight w:val="none"/>
                <w:lang w:val="en-US" w:eastAsia="zh-CN"/>
              </w:rPr>
              <w:t>28</w:t>
            </w:r>
            <w:r>
              <w:rPr>
                <w:rFonts w:hint="eastAsia" w:ascii="仿宋_GB2312" w:hAnsi="仿宋_GB2312" w:eastAsia="仿宋_GB2312" w:cs="仿宋_GB2312"/>
                <w:color w:val="auto"/>
                <w:sz w:val="24"/>
                <w:highlight w:val="none"/>
              </w:rPr>
              <w:t>分。前述7项内容每缺少一项内容扣</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rPr>
              <w:t>分，每有一处内容不完整、不合理、不符合项目实际要求的扣</w:t>
            </w:r>
            <w:r>
              <w:rPr>
                <w:rFonts w:hint="eastAsia" w:ascii="仿宋_GB2312" w:hAnsi="仿宋_GB2312" w:eastAsia="仿宋_GB2312" w:cs="仿宋_GB2312"/>
                <w:color w:val="auto"/>
                <w:sz w:val="24"/>
                <w:highlight w:val="none"/>
                <w:lang w:val="en-US" w:eastAsia="zh-CN"/>
              </w:rPr>
              <w:t>1.5</w:t>
            </w:r>
            <w:r>
              <w:rPr>
                <w:rFonts w:hint="eastAsia" w:ascii="仿宋_GB2312" w:hAnsi="仿宋_GB2312" w:eastAsia="仿宋_GB2312" w:cs="仿宋_GB2312"/>
                <w:color w:val="auto"/>
                <w:sz w:val="24"/>
                <w:highlight w:val="none"/>
              </w:rPr>
              <w:t>分， 本项得分扣完为止。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012"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3.2.2（3）</w:t>
            </w:r>
          </w:p>
        </w:tc>
        <w:tc>
          <w:tcPr>
            <w:tcW w:w="3295" w:type="dxa"/>
            <w:vAlign w:val="center"/>
          </w:tcPr>
          <w:p>
            <w:pPr>
              <w:pStyle w:val="85"/>
              <w:snapToGrid w:val="0"/>
              <w:spacing w:line="400" w:lineRule="exact"/>
              <w:ind w:firstLine="0" w:firstLineChars="0"/>
              <w:jc w:val="center"/>
              <w:textAlignment w:val="baseline"/>
              <w:rPr>
                <w:rFonts w:ascii="仿宋_GB2312" w:hAnsi="仿宋_GB2312" w:eastAsia="仿宋_GB2312" w:cs="仿宋_GB2312"/>
                <w:color w:val="auto"/>
                <w:sz w:val="24"/>
                <w:highlight w:val="none"/>
                <w:lang w:eastAsia="zh-CN" w:bidi="ar-SA"/>
              </w:rPr>
            </w:pPr>
            <w:r>
              <w:rPr>
                <w:rFonts w:hint="eastAsia" w:ascii="仿宋_GB2312" w:hAnsi="仿宋_GB2312" w:eastAsia="仿宋_GB2312" w:cs="仿宋_GB2312"/>
                <w:color w:val="auto"/>
                <w:sz w:val="24"/>
                <w:highlight w:val="none"/>
                <w:lang w:eastAsia="zh-CN" w:bidi="ar-SA"/>
              </w:rPr>
              <w:t>人员配置（</w:t>
            </w:r>
            <w:r>
              <w:rPr>
                <w:rFonts w:hint="eastAsia" w:ascii="仿宋_GB2312" w:hAnsi="仿宋_GB2312" w:eastAsia="仿宋_GB2312" w:cs="仿宋_GB2312"/>
                <w:color w:val="auto"/>
                <w:sz w:val="24"/>
                <w:highlight w:val="none"/>
                <w:lang w:val="en-US" w:eastAsia="zh-CN" w:bidi="ar-SA"/>
              </w:rPr>
              <w:t>7</w:t>
            </w:r>
            <w:r>
              <w:rPr>
                <w:rFonts w:hint="eastAsia" w:ascii="仿宋_GB2312" w:hAnsi="仿宋_GB2312" w:eastAsia="仿宋_GB2312" w:cs="仿宋_GB2312"/>
                <w:color w:val="auto"/>
                <w:sz w:val="24"/>
                <w:highlight w:val="none"/>
                <w:lang w:eastAsia="zh-CN" w:bidi="ar-SA"/>
              </w:rPr>
              <w:t>分）</w:t>
            </w:r>
          </w:p>
          <w:p>
            <w:pPr>
              <w:spacing w:line="400" w:lineRule="exact"/>
              <w:jc w:val="center"/>
              <w:rPr>
                <w:rFonts w:ascii="仿宋_GB2312" w:hAnsi="仿宋_GB2312" w:eastAsia="仿宋_GB2312" w:cs="仿宋_GB2312"/>
                <w:color w:val="auto"/>
                <w:sz w:val="24"/>
                <w:highlight w:val="none"/>
              </w:rPr>
            </w:pPr>
          </w:p>
        </w:tc>
        <w:tc>
          <w:tcPr>
            <w:tcW w:w="5917" w:type="dxa"/>
            <w:vAlign w:val="center"/>
          </w:tcPr>
          <w:p>
            <w:pPr>
              <w:keepNext w:val="0"/>
              <w:keepLines w:val="0"/>
              <w:pageBreakBefore w:val="0"/>
              <w:widowControl/>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highlight w:val="none"/>
                <w:lang w:val="en-US" w:eastAsia="zh-CN" w:bidi="ar-SA"/>
              </w:rPr>
            </w:pPr>
            <w:r>
              <w:rPr>
                <w:rFonts w:hint="eastAsia" w:ascii="仿宋_GB2312" w:hAnsi="仿宋_GB2312" w:eastAsia="仿宋_GB2312" w:cs="仿宋_GB2312"/>
                <w:color w:val="auto"/>
                <w:sz w:val="24"/>
                <w:highlight w:val="none"/>
                <w:lang w:val="en-US" w:eastAsia="zh-CN" w:bidi="ar-SA"/>
              </w:rPr>
              <w:t>XXXXXXX</w:t>
            </w:r>
          </w:p>
          <w:p>
            <w:pPr>
              <w:keepNext w:val="0"/>
              <w:keepLines w:val="0"/>
              <w:pageBreakBefore w:val="0"/>
              <w:widowControl/>
              <w:kinsoku/>
              <w:wordWrap/>
              <w:overflowPunct/>
              <w:topLinePunct w:val="0"/>
              <w:autoSpaceDE/>
              <w:autoSpaceDN/>
              <w:bidi w:val="0"/>
              <w:adjustRightInd/>
              <w:spacing w:line="400" w:lineRule="exact"/>
              <w:ind w:firstLine="480" w:firstLineChars="200"/>
              <w:rPr>
                <w:rFonts w:hint="eastAsia" w:ascii="仿宋_GB2312" w:hAnsi="仿宋_GB2312" w:eastAsia="仿宋_GB2312" w:cs="仿宋_GB2312"/>
                <w:color w:val="auto"/>
                <w:sz w:val="24"/>
                <w:highlight w:val="none"/>
                <w:shd w:val="clear" w:color="auto" w:fill="auto"/>
              </w:rPr>
            </w:pPr>
            <w:r>
              <w:rPr>
                <w:rFonts w:hint="eastAsia" w:ascii="仿宋_GB2312" w:hAnsi="仿宋_GB2312" w:eastAsia="仿宋_GB2312" w:cs="仿宋_GB2312"/>
                <w:color w:val="auto"/>
                <w:sz w:val="24"/>
                <w:highlight w:val="none"/>
                <w:shd w:val="clear" w:color="auto" w:fill="auto"/>
              </w:rPr>
              <w:t>注:①供应商拟投入本项目的人员不可重复提供得分。</w:t>
            </w:r>
          </w:p>
          <w:p>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ascii="仿宋" w:hAnsi="仿宋" w:eastAsia="仿宋" w:cs="仿宋"/>
                <w:bCs/>
                <w:color w:val="auto"/>
                <w:sz w:val="24"/>
                <w:highlight w:val="none"/>
              </w:rPr>
            </w:pPr>
            <w:r>
              <w:rPr>
                <w:rFonts w:hint="eastAsia" w:ascii="仿宋_GB2312" w:hAnsi="仿宋_GB2312" w:eastAsia="仿宋_GB2312" w:cs="仿宋_GB2312"/>
                <w:color w:val="auto"/>
                <w:sz w:val="24"/>
                <w:highlight w:val="none"/>
                <w:shd w:val="clear" w:color="auto" w:fill="auto"/>
              </w:rPr>
              <w:t>②供应商分别提供以上人员有效的证书复印件并加盖公章、递交响应文件截止日前连续近六个月缴纳社保的证明，并加盖公章，不提供或提供不满足不得分。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012"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w:t>
            </w:r>
            <w:r>
              <w:rPr>
                <w:rFonts w:hint="eastAsia" w:ascii="仿宋_GB2312" w:hAnsi="仿宋_GB2312" w:cs="仿宋_GB2312"/>
                <w:color w:val="auto"/>
                <w:sz w:val="24"/>
                <w:highlight w:val="none"/>
              </w:rPr>
              <w:t>4</w:t>
            </w:r>
            <w:r>
              <w:rPr>
                <w:rFonts w:hint="eastAsia" w:ascii="仿宋_GB2312" w:hAnsi="仿宋_GB2312" w:eastAsia="仿宋_GB2312" w:cs="仿宋_GB2312"/>
                <w:color w:val="auto"/>
                <w:sz w:val="24"/>
                <w:highlight w:val="none"/>
              </w:rPr>
              <w:t>）</w:t>
            </w:r>
          </w:p>
        </w:tc>
        <w:tc>
          <w:tcPr>
            <w:tcW w:w="3295" w:type="dxa"/>
            <w:vAlign w:val="center"/>
          </w:tcPr>
          <w:p>
            <w:pPr>
              <w:pStyle w:val="85"/>
              <w:snapToGrid w:val="0"/>
              <w:spacing w:line="400" w:lineRule="exact"/>
              <w:ind w:firstLine="0" w:firstLineChars="0"/>
              <w:jc w:val="center"/>
              <w:textAlignment w:val="baseline"/>
              <w:rPr>
                <w:rFonts w:ascii="仿宋_GB2312" w:hAnsi="仿宋_GB2312" w:eastAsia="仿宋_GB2312" w:cs="仿宋_GB2312"/>
                <w:color w:val="auto"/>
                <w:sz w:val="24"/>
                <w:highlight w:val="none"/>
                <w:lang w:eastAsia="zh-CN" w:bidi="ar-SA"/>
              </w:rPr>
            </w:pPr>
            <w:r>
              <w:rPr>
                <w:rFonts w:hint="eastAsia" w:ascii="仿宋_GB2312" w:hAnsi="仿宋_GB2312" w:eastAsia="仿宋_GB2312" w:cs="仿宋_GB2312"/>
                <w:color w:val="auto"/>
                <w:sz w:val="24"/>
                <w:highlight w:val="none"/>
                <w:lang w:eastAsia="zh-CN" w:bidi="ar-SA"/>
              </w:rPr>
              <w:t>类似业绩</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15</w:t>
            </w:r>
            <w:r>
              <w:rPr>
                <w:rFonts w:hint="eastAsia" w:ascii="仿宋_GB2312" w:hAnsi="仿宋_GB2312" w:eastAsia="仿宋_GB2312" w:cs="仿宋_GB2312"/>
                <w:color w:val="auto"/>
                <w:sz w:val="24"/>
                <w:highlight w:val="none"/>
              </w:rPr>
              <w:t>分）</w:t>
            </w:r>
          </w:p>
        </w:tc>
        <w:tc>
          <w:tcPr>
            <w:tcW w:w="5917" w:type="dxa"/>
            <w:vAlign w:val="center"/>
          </w:tcPr>
          <w:p>
            <w:pPr>
              <w:keepNext w:val="0"/>
              <w:keepLines w:val="0"/>
              <w:pageBreakBefore w:val="0"/>
              <w:widowControl/>
              <w:kinsoku/>
              <w:wordWrap/>
              <w:overflowPunct/>
              <w:topLinePunct w:val="0"/>
              <w:autoSpaceDE/>
              <w:autoSpaceDN/>
              <w:bidi w:val="0"/>
              <w:adjustRightInd/>
              <w:spacing w:line="40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供应商2020年4月1日（含1日）以来具有一个已完成类似项目业绩的得5分，在此基础上每增加1个加5分，最多得15分。（类似项目是指：</w:t>
            </w:r>
            <w:r>
              <w:rPr>
                <w:rFonts w:hint="eastAsia" w:ascii="仿宋_GB2312" w:hAnsi="仿宋_GB2312" w:eastAsia="仿宋_GB2312" w:cs="仿宋_GB2312"/>
                <w:color w:val="auto"/>
                <w:sz w:val="24"/>
                <w:highlight w:val="none"/>
                <w:lang w:val="en-US" w:eastAsia="zh-CN"/>
              </w:rPr>
              <w:t>XX</w:t>
            </w:r>
            <w:r>
              <w:rPr>
                <w:rFonts w:hint="eastAsia" w:ascii="仿宋_GB2312" w:hAnsi="仿宋_GB2312" w:eastAsia="仿宋_GB2312" w:cs="仿宋_GB2312"/>
                <w:color w:val="auto"/>
                <w:sz w:val="24"/>
                <w:highlight w:val="none"/>
              </w:rPr>
              <w:t>工程建设项目业绩</w:t>
            </w:r>
            <w:r>
              <w:rPr>
                <w:rFonts w:hint="eastAsia" w:ascii="仿宋_GB2312" w:hAnsi="仿宋_GB2312" w:cs="仿宋_GB2312"/>
                <w:color w:val="auto"/>
                <w:sz w:val="24"/>
                <w:highlight w:val="none"/>
              </w:rPr>
              <w:t>，</w:t>
            </w:r>
            <w:r>
              <w:rPr>
                <w:rFonts w:hint="eastAsia" w:ascii="仿宋_GB2312" w:hAnsi="仿宋_GB2312" w:eastAsia="仿宋_GB2312" w:cs="仿宋_GB2312"/>
                <w:color w:val="auto"/>
                <w:sz w:val="24"/>
                <w:highlight w:val="none"/>
              </w:rPr>
              <w:t>提供施工合同复印件和竣工验收报告复印件）。</w:t>
            </w:r>
          </w:p>
        </w:tc>
      </w:tr>
    </w:tbl>
    <w:p>
      <w:pPr>
        <w:spacing w:line="400" w:lineRule="exact"/>
        <w:ind w:firstLine="480"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4"/>
          <w:highlight w:val="none"/>
        </w:rPr>
        <w:t>注：评分的取值按四舍五入法，保留小数点后两位。</w:t>
      </w:r>
      <w:bookmarkEnd w:id="400"/>
      <w:bookmarkEnd w:id="401"/>
      <w:bookmarkEnd w:id="402"/>
      <w:bookmarkEnd w:id="403"/>
    </w:p>
    <w:p>
      <w:pPr>
        <w:tabs>
          <w:tab w:val="left" w:pos="851"/>
        </w:tabs>
        <w:spacing w:line="48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4.</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color w:val="auto"/>
          <w:sz w:val="28"/>
          <w:szCs w:val="28"/>
          <w:highlight w:val="none"/>
        </w:rPr>
        <w:t>磋商纪律及注意事项</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4.1 磋商小组讨论的情况和意见必须保密，任何人不得泄露。</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4.2 在磋商过程中，供应商不得以任何形式对磋商小组成员进行私下接触，否则将取消其参与磋商的资格。</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4.3 对各供应商的商业秘密，磋商小组成员应予以保密，不得泄露给其他供应商。</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4.4 磋商小组独立评判，推荐成交候选人，并写出书面报告。</w:t>
      </w:r>
    </w:p>
    <w:p>
      <w:pPr>
        <w:tabs>
          <w:tab w:val="left" w:pos="851"/>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4.5 磋商小组可根据需要对供应商进行实地考察。</w:t>
      </w:r>
    </w:p>
    <w:p>
      <w:pPr>
        <w:tabs>
          <w:tab w:val="left" w:pos="7665"/>
        </w:tabs>
        <w:spacing w:line="480" w:lineRule="exact"/>
        <w:ind w:firstLine="562"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w:t>
      </w:r>
      <w:bookmarkEnd w:id="404"/>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bCs/>
          <w:color w:val="auto"/>
          <w:sz w:val="28"/>
          <w:szCs w:val="28"/>
          <w:highlight w:val="none"/>
        </w:rPr>
        <w:t>磋商小组在采购活动中承担以下义务：</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5.1 遵守评审工作纪律；</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5.2 按照客观、公正、审慎的原则，根据磋商文件规定的评审程序、评审方法和评审标准进行独立评审；</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5.3 不得泄露评审文件、评审情况和在评审过程中获悉的商业秘密；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5.4 及时向监察部门报告评审过程中发现的采购人、采购代理机构向评审专家做倾向性、误导性的解释或者说明，以及供应商行贿、提供虚假材料或者串通等违法行为；</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5.5 发现磋商文件内容违反国家有关强制性规定或者磋商文件存在歧义时，应向采购人或者采购代理机构书面说明情况；</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5.6 及时向监察等部门举报在评审过程中受到非法干预的情况；</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5.7 配合答复处理供应商的询问、质疑和投诉等事项；</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5.8 法律、法规和规章规定的其他义务。</w:t>
      </w:r>
    </w:p>
    <w:p>
      <w:pPr>
        <w:tabs>
          <w:tab w:val="left" w:pos="7665"/>
        </w:tabs>
        <w:spacing w:line="480" w:lineRule="exact"/>
        <w:ind w:firstLine="562" w:firstLineChars="200"/>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6.</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b/>
          <w:color w:val="auto"/>
          <w:sz w:val="28"/>
          <w:szCs w:val="28"/>
          <w:highlight w:val="none"/>
        </w:rPr>
        <w:t>评审专家在采购活动中应当遵守以下工作纪律：</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6.1 不得参加与自己有利害关系的采购项目的评标活动。发现参加了与自己有利害关系的评审活动，须主动提出回避，退出评审；</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6.2 评审前，应当将通讯工具</w:t>
      </w:r>
      <w:r>
        <w:rPr>
          <w:rFonts w:hint="eastAsia" w:ascii="仿宋_GB2312" w:hAnsi="仿宋_GB2312" w:cs="仿宋_GB2312"/>
          <w:color w:val="auto"/>
          <w:sz w:val="28"/>
          <w:szCs w:val="28"/>
          <w:highlight w:val="none"/>
        </w:rPr>
        <w:t>和</w:t>
      </w:r>
      <w:r>
        <w:rPr>
          <w:rFonts w:hint="eastAsia" w:ascii="仿宋_GB2312" w:hAnsi="仿宋_GB2312" w:eastAsia="仿宋_GB2312" w:cs="仿宋_GB2312"/>
          <w:color w:val="auto"/>
          <w:sz w:val="28"/>
          <w:szCs w:val="28"/>
          <w:highlight w:val="none"/>
        </w:rPr>
        <w:t>相关电子设备交由采购代理机构统一保管；</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6.3 评审过程中，不得与外界联系，确实需要与外界联系的，应当在监督人员监督之下办理；</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6.4 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6.5 在评审过程中和评审结束后，不得记录、复制或带走任何评审资料，不得向外界透露评审内容；</w:t>
      </w:r>
    </w:p>
    <w:p>
      <w:pPr>
        <w:tabs>
          <w:tab w:val="left" w:pos="7665"/>
        </w:tabs>
        <w:spacing w:line="48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6.6</w:t>
      </w: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评审现场服从采购代理机构工作人员的管理，接受现场监督人员的合法监督；</w:t>
      </w:r>
    </w:p>
    <w:p>
      <w:pPr>
        <w:tabs>
          <w:tab w:val="left" w:pos="7665"/>
        </w:tabs>
        <w:snapToGrid w:val="0"/>
        <w:spacing w:line="480" w:lineRule="exact"/>
        <w:ind w:firstLine="560" w:firstLineChars="200"/>
        <w:textAlignment w:val="baseline"/>
        <w:rPr>
          <w:rFonts w:ascii="仿宋_GB2312" w:hAnsi="仿宋_GB2312" w:eastAsia="仿宋_GB2312" w:cs="仿宋_GB2312"/>
          <w:color w:val="auto"/>
          <w:sz w:val="28"/>
          <w:szCs w:val="28"/>
          <w:highlight w:val="none"/>
        </w:rPr>
        <w:sectPr>
          <w:pgSz w:w="11907" w:h="16839"/>
          <w:pgMar w:top="1418" w:right="1559" w:bottom="1418" w:left="1559"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仿宋_GB2312" w:hAnsi="仿宋_GB2312" w:eastAsia="仿宋_GB2312" w:cs="仿宋_GB2312"/>
          <w:color w:val="auto"/>
          <w:sz w:val="28"/>
          <w:szCs w:val="28"/>
          <w:highlight w:val="none"/>
        </w:rPr>
        <w:t>6.7</w:t>
      </w: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遵守有关廉洁自律规定，不得私下接触供应商，不得收受供应商及有关业务单位和个人的财物或好处，不得接受采购代理机构的请托</w:t>
      </w:r>
      <w:r>
        <w:rPr>
          <w:rFonts w:hint="eastAsia" w:ascii="仿宋_GB2312" w:hAnsi="仿宋_GB2312" w:eastAsia="仿宋_GB2312" w:cs="仿宋_GB2312"/>
          <w:color w:val="auto"/>
          <w:sz w:val="28"/>
          <w:szCs w:val="28"/>
          <w:highlight w:val="none"/>
        </w:rPr>
        <w:t>。</w:t>
      </w:r>
    </w:p>
    <w:p>
      <w:pPr>
        <w:pStyle w:val="3"/>
        <w:jc w:val="center"/>
        <w:rPr>
          <w:rFonts w:ascii="黑体" w:hAnsi="黑体" w:eastAsia="黑体" w:cs="黑体"/>
          <w:color w:val="auto"/>
          <w:sz w:val="36"/>
          <w:szCs w:val="36"/>
          <w:highlight w:val="none"/>
        </w:rPr>
      </w:pPr>
      <w:bookmarkStart w:id="439" w:name="_Toc24236"/>
      <w:bookmarkStart w:id="440" w:name="_Toc10588"/>
      <w:bookmarkStart w:id="441" w:name="_Toc14966"/>
      <w:bookmarkStart w:id="442" w:name="_Toc27876"/>
      <w:bookmarkStart w:id="443" w:name="_Toc8707"/>
      <w:bookmarkStart w:id="444" w:name="_Toc997"/>
      <w:bookmarkStart w:id="445" w:name="_Toc12335"/>
      <w:bookmarkStart w:id="446" w:name="_Toc29621"/>
      <w:bookmarkStart w:id="447" w:name="_Toc15936"/>
      <w:bookmarkStart w:id="448" w:name="_Toc3106"/>
      <w:bookmarkStart w:id="449" w:name="_Toc26006"/>
      <w:bookmarkStart w:id="450" w:name="_Toc15147"/>
      <w:bookmarkStart w:id="451" w:name="_Toc2871"/>
      <w:r>
        <w:rPr>
          <w:rFonts w:hint="eastAsia" w:ascii="黑体" w:hAnsi="黑体" w:eastAsia="黑体" w:cs="黑体"/>
          <w:color w:val="auto"/>
          <w:sz w:val="36"/>
          <w:szCs w:val="36"/>
          <w:highlight w:val="none"/>
        </w:rPr>
        <w:t>第七章  采购合同（范本）</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39"/>
      <w:bookmarkEnd w:id="440"/>
      <w:bookmarkEnd w:id="441"/>
      <w:bookmarkEnd w:id="442"/>
      <w:bookmarkEnd w:id="443"/>
      <w:bookmarkEnd w:id="444"/>
      <w:bookmarkEnd w:id="445"/>
      <w:bookmarkEnd w:id="446"/>
      <w:bookmarkEnd w:id="447"/>
      <w:bookmarkEnd w:id="448"/>
      <w:bookmarkEnd w:id="449"/>
      <w:bookmarkEnd w:id="450"/>
      <w:bookmarkEnd w:id="451"/>
    </w:p>
    <w:p>
      <w:pPr>
        <w:snapToGrid w:val="0"/>
        <w:spacing w:line="480" w:lineRule="exact"/>
        <w:ind w:firstLine="560" w:firstLineChars="200"/>
        <w:jc w:val="center"/>
        <w:textAlignment w:val="baseline"/>
        <w:rPr>
          <w:rFonts w:ascii="仿宋_GB2312" w:hAnsi="仿宋_GB2312" w:eastAsia="仿宋_GB2312" w:cs="仿宋_GB2312"/>
          <w:color w:val="auto"/>
          <w:sz w:val="28"/>
          <w:szCs w:val="28"/>
          <w:highlight w:val="none"/>
        </w:rPr>
      </w:pPr>
      <w:bookmarkStart w:id="452" w:name="_Hlt101846155"/>
      <w:bookmarkEnd w:id="452"/>
    </w:p>
    <w:p>
      <w:pPr>
        <w:spacing w:line="480" w:lineRule="exact"/>
        <w:ind w:firstLine="420" w:firstLineChars="200"/>
        <w:jc w:val="center"/>
        <w:rPr>
          <w:color w:val="auto"/>
          <w:highlight w:val="none"/>
        </w:rPr>
      </w:pPr>
      <w:r>
        <w:rPr>
          <w:rFonts w:hint="eastAsia"/>
          <w:color w:val="auto"/>
          <w:highlight w:val="none"/>
        </w:rPr>
        <w:t xml:space="preserve">             </w:t>
      </w: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200" w:lineRule="exact"/>
        <w:rPr>
          <w:color w:val="auto"/>
          <w:sz w:val="20"/>
          <w:szCs w:val="20"/>
          <w:highlight w:val="none"/>
        </w:rPr>
      </w:pPr>
    </w:p>
    <w:p>
      <w:pPr>
        <w:spacing w:line="36" w:lineRule="auto"/>
        <w:jc w:val="right"/>
        <w:rPr>
          <w:rFonts w:ascii="宋体" w:hAnsi="宋体"/>
          <w:color w:val="auto"/>
          <w:sz w:val="26"/>
          <w:highlight w:val="none"/>
        </w:rPr>
      </w:pPr>
      <w:r>
        <w:rPr>
          <w:rFonts w:hint="eastAsia" w:ascii="宋体" w:hAnsi="宋体" w:eastAsia="宋体" w:cs="宋体"/>
          <w:b/>
          <w:bCs/>
          <w:color w:val="auto"/>
          <w:sz w:val="32"/>
          <w:szCs w:val="28"/>
          <w:highlight w:val="none"/>
        </w:rPr>
        <w:t>合同编号：____________</w:t>
      </w:r>
    </w:p>
    <w:p>
      <w:pPr>
        <w:spacing w:line="36" w:lineRule="auto"/>
        <w:rPr>
          <w:rFonts w:ascii="宋体" w:hAnsi="宋体"/>
          <w:color w:val="auto"/>
          <w:sz w:val="26"/>
          <w:highlight w:val="none"/>
        </w:rPr>
      </w:pPr>
    </w:p>
    <w:p>
      <w:pPr>
        <w:spacing w:line="36" w:lineRule="auto"/>
        <w:rPr>
          <w:rFonts w:ascii="宋体" w:hAnsi="宋体"/>
          <w:color w:val="auto"/>
          <w:sz w:val="26"/>
          <w:highlight w:val="none"/>
        </w:rPr>
      </w:pPr>
    </w:p>
    <w:p>
      <w:pPr>
        <w:jc w:val="center"/>
        <w:rPr>
          <w:rFonts w:ascii="华文中宋" w:hAnsi="华文中宋" w:eastAsia="华文中宋" w:cs="Times New Roman"/>
          <w:b/>
          <w:color w:val="auto"/>
          <w:sz w:val="52"/>
          <w:szCs w:val="52"/>
          <w:highlight w:val="none"/>
        </w:rPr>
      </w:pPr>
      <w:r>
        <w:rPr>
          <w:rFonts w:ascii="华文中宋" w:hAnsi="华文中宋" w:eastAsia="华文中宋" w:cs="Times New Roman"/>
          <w:b/>
          <w:color w:val="auto"/>
          <w:sz w:val="52"/>
          <w:szCs w:val="52"/>
          <w:highlight w:val="none"/>
        </w:rPr>
        <w:t>建设工程施工合同</w:t>
      </w:r>
      <w:r>
        <w:rPr>
          <w:rFonts w:ascii="华文中宋" w:hAnsi="华文中宋" w:eastAsia="华文中宋" w:cs="Times New Roman"/>
          <w:b/>
          <w:color w:val="auto"/>
          <w:sz w:val="52"/>
          <w:szCs w:val="52"/>
          <w:highlight w:val="none"/>
        </w:rPr>
        <w:br w:type="textWrapping"/>
      </w:r>
      <w:r>
        <w:rPr>
          <w:rFonts w:ascii="仿宋" w:hAnsi="仿宋" w:eastAsia="仿宋" w:cs="Times New Roman"/>
          <w:b/>
          <w:color w:val="auto"/>
          <w:sz w:val="48"/>
          <w:szCs w:val="48"/>
          <w:highlight w:val="none"/>
        </w:rPr>
        <w:t>（GF—2017—0201）</w:t>
      </w:r>
    </w:p>
    <w:p>
      <w:pPr>
        <w:jc w:val="center"/>
        <w:rPr>
          <w:rFonts w:ascii="Times New Roman" w:hAnsi="Times New Roman" w:eastAsia="华文中宋" w:cs="Times New Roman"/>
          <w:b/>
          <w:color w:val="auto"/>
          <w:sz w:val="52"/>
          <w:szCs w:val="52"/>
          <w:highlight w:val="none"/>
        </w:rPr>
      </w:pPr>
    </w:p>
    <w:p>
      <w:pPr>
        <w:jc w:val="center"/>
        <w:rPr>
          <w:rFonts w:ascii="Times New Roman" w:hAnsi="Times New Roman" w:eastAsia="黑体" w:cs="Times New Roman"/>
          <w:b/>
          <w:color w:val="auto"/>
          <w:sz w:val="72"/>
          <w:szCs w:val="72"/>
          <w:highlight w:val="none"/>
        </w:rPr>
      </w:pPr>
    </w:p>
    <w:p>
      <w:pPr>
        <w:jc w:val="center"/>
        <w:rPr>
          <w:rFonts w:ascii="Times New Roman" w:hAnsi="Times New Roman" w:eastAsia="楷体_GB2312" w:cs="Times New Roman"/>
          <w:b/>
          <w:color w:val="auto"/>
          <w:sz w:val="72"/>
          <w:szCs w:val="72"/>
          <w:highlight w:val="none"/>
        </w:rPr>
      </w:pPr>
    </w:p>
    <w:p>
      <w:pPr>
        <w:jc w:val="center"/>
        <w:rPr>
          <w:rFonts w:ascii="Times New Roman" w:hAnsi="Times New Roman" w:eastAsia="黑体" w:cs="Times New Roman"/>
          <w:b/>
          <w:color w:val="auto"/>
          <w:sz w:val="52"/>
          <w:szCs w:val="52"/>
          <w:highlight w:val="none"/>
        </w:rPr>
      </w:pPr>
    </w:p>
    <w:p>
      <w:pPr>
        <w:rPr>
          <w:rFonts w:ascii="Times New Roman" w:hAnsi="Times New Roman" w:eastAsia="宋体" w:cs="Times New Roman"/>
          <w:b/>
          <w:color w:val="auto"/>
          <w:sz w:val="28"/>
          <w:szCs w:val="28"/>
          <w:highlight w:val="none"/>
        </w:rPr>
      </w:pPr>
    </w:p>
    <w:p>
      <w:pPr>
        <w:rPr>
          <w:rFonts w:ascii="Times New Roman" w:hAnsi="Times New Roman" w:eastAsia="宋体" w:cs="Times New Roman"/>
          <w:b/>
          <w:color w:val="auto"/>
          <w:sz w:val="28"/>
          <w:szCs w:val="28"/>
          <w:highlight w:val="none"/>
        </w:rPr>
      </w:pPr>
    </w:p>
    <w:p>
      <w:pPr>
        <w:rPr>
          <w:rFonts w:ascii="Times New Roman" w:hAnsi="Times New Roman" w:eastAsia="宋体" w:cs="Times New Roman"/>
          <w:b/>
          <w:color w:val="auto"/>
          <w:sz w:val="28"/>
          <w:szCs w:val="28"/>
          <w:highlight w:val="none"/>
        </w:rPr>
      </w:pPr>
    </w:p>
    <w:p>
      <w:pPr>
        <w:rPr>
          <w:rFonts w:ascii="Times New Roman" w:hAnsi="Times New Roman" w:eastAsia="宋体" w:cs="Times New Roman"/>
          <w:b/>
          <w:color w:val="auto"/>
          <w:sz w:val="28"/>
          <w:szCs w:val="28"/>
          <w:highlight w:val="none"/>
        </w:rPr>
      </w:pPr>
    </w:p>
    <w:p>
      <w:pPr>
        <w:ind w:right="2719" w:rightChars="1295"/>
        <w:jc w:val="right"/>
        <w:rPr>
          <w:rFonts w:ascii="Times New Roman" w:hAnsi="Times New Roman" w:eastAsia="宋体" w:cs="Times New Roman"/>
          <w:b/>
          <w:color w:val="auto"/>
          <w:sz w:val="32"/>
          <w:szCs w:val="28"/>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3760470</wp:posOffset>
                </wp:positionH>
                <wp:positionV relativeFrom="paragraph">
                  <wp:posOffset>148590</wp:posOffset>
                </wp:positionV>
                <wp:extent cx="723900" cy="457200"/>
                <wp:effectExtent l="4445" t="4445" r="14605" b="146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cmpd="sng">
                          <a:solidFill>
                            <a:srgbClr val="FFFFFF"/>
                          </a:solidFill>
                          <a:miter lim="800000"/>
                        </a:ln>
                        <a:effectLst/>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6.1pt;margin-top:11.7pt;height:36pt;width:57pt;z-index:251659264;mso-width-relative:page;mso-height-relative:page;" filled="f" stroked="t" coordsize="21600,21600" o:gfxdata="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5vJ42gAAAAkBAAAPAAAAAAAA&#10;AAEAIAAAACIAAABkcnMvZG93bnJldi54bWxQSwECFAAUAAAACACHTuJAgk0tc0kCAAB2BAAADgAA&#10;AAAAAAABACAAAAApAQAAZHJzL2Uyb0RvYy54bWxQSwUGAAAAAAYABgBZAQAA5AU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Times New Roman" w:hAnsi="Times New Roman" w:eastAsia="宋体" w:cs="Times New Roman"/>
          <w:b/>
          <w:color w:val="auto"/>
          <w:sz w:val="32"/>
          <w:szCs w:val="28"/>
          <w:highlight w:val="none"/>
        </w:rPr>
        <w:t>住</w:t>
      </w:r>
      <w:r>
        <w:rPr>
          <w:rFonts w:hint="eastAsia" w:ascii="Times New Roman" w:hAnsi="Times New Roman" w:eastAsia="宋体" w:cs="Times New Roman"/>
          <w:b/>
          <w:color w:val="auto"/>
          <w:sz w:val="32"/>
          <w:szCs w:val="28"/>
          <w:highlight w:val="none"/>
        </w:rPr>
        <w:t xml:space="preserve"> </w:t>
      </w:r>
      <w:r>
        <w:rPr>
          <w:rFonts w:ascii="Times New Roman" w:hAnsi="Times New Roman" w:eastAsia="宋体" w:cs="Times New Roman"/>
          <w:b/>
          <w:color w:val="auto"/>
          <w:sz w:val="32"/>
          <w:szCs w:val="28"/>
          <w:highlight w:val="none"/>
        </w:rPr>
        <w:t>房</w:t>
      </w:r>
      <w:r>
        <w:rPr>
          <w:rFonts w:hint="eastAsia" w:ascii="Times New Roman" w:hAnsi="Times New Roman" w:eastAsia="宋体" w:cs="Times New Roman"/>
          <w:b/>
          <w:color w:val="auto"/>
          <w:sz w:val="32"/>
          <w:szCs w:val="28"/>
          <w:highlight w:val="none"/>
        </w:rPr>
        <w:t xml:space="preserve"> </w:t>
      </w:r>
      <w:r>
        <w:rPr>
          <w:rFonts w:ascii="Times New Roman" w:hAnsi="Times New Roman" w:eastAsia="宋体" w:cs="Times New Roman"/>
          <w:b/>
          <w:color w:val="auto"/>
          <w:sz w:val="32"/>
          <w:szCs w:val="28"/>
          <w:highlight w:val="none"/>
        </w:rPr>
        <w:t>城</w:t>
      </w:r>
      <w:r>
        <w:rPr>
          <w:rFonts w:hint="eastAsia" w:ascii="Times New Roman" w:hAnsi="Times New Roman" w:eastAsia="宋体" w:cs="Times New Roman"/>
          <w:b/>
          <w:color w:val="auto"/>
          <w:sz w:val="32"/>
          <w:szCs w:val="28"/>
          <w:highlight w:val="none"/>
        </w:rPr>
        <w:t xml:space="preserve"> </w:t>
      </w:r>
      <w:r>
        <w:rPr>
          <w:rFonts w:ascii="Times New Roman" w:hAnsi="Times New Roman" w:eastAsia="宋体" w:cs="Times New Roman"/>
          <w:b/>
          <w:color w:val="auto"/>
          <w:sz w:val="32"/>
          <w:szCs w:val="28"/>
          <w:highlight w:val="none"/>
        </w:rPr>
        <w:t>乡</w:t>
      </w:r>
      <w:r>
        <w:rPr>
          <w:rFonts w:hint="eastAsia" w:ascii="Times New Roman" w:hAnsi="Times New Roman" w:eastAsia="宋体" w:cs="Times New Roman"/>
          <w:b/>
          <w:color w:val="auto"/>
          <w:sz w:val="32"/>
          <w:szCs w:val="28"/>
          <w:highlight w:val="none"/>
        </w:rPr>
        <w:t xml:space="preserve"> </w:t>
      </w:r>
      <w:r>
        <w:rPr>
          <w:rFonts w:ascii="Times New Roman" w:hAnsi="Times New Roman" w:eastAsia="宋体" w:cs="Times New Roman"/>
          <w:b/>
          <w:color w:val="auto"/>
          <w:sz w:val="32"/>
          <w:szCs w:val="28"/>
          <w:highlight w:val="none"/>
        </w:rPr>
        <w:t>建</w:t>
      </w:r>
      <w:r>
        <w:rPr>
          <w:rFonts w:hint="eastAsia" w:ascii="Times New Roman" w:hAnsi="Times New Roman" w:eastAsia="宋体" w:cs="Times New Roman"/>
          <w:b/>
          <w:color w:val="auto"/>
          <w:sz w:val="32"/>
          <w:szCs w:val="28"/>
          <w:highlight w:val="none"/>
        </w:rPr>
        <w:t xml:space="preserve"> </w:t>
      </w:r>
      <w:r>
        <w:rPr>
          <w:rFonts w:ascii="Times New Roman" w:hAnsi="Times New Roman" w:eastAsia="宋体" w:cs="Times New Roman"/>
          <w:b/>
          <w:color w:val="auto"/>
          <w:sz w:val="32"/>
          <w:szCs w:val="28"/>
          <w:highlight w:val="none"/>
        </w:rPr>
        <w:t>设</w:t>
      </w:r>
      <w:r>
        <w:rPr>
          <w:rFonts w:hint="eastAsia" w:ascii="Times New Roman" w:hAnsi="Times New Roman" w:eastAsia="宋体" w:cs="Times New Roman"/>
          <w:b/>
          <w:color w:val="auto"/>
          <w:sz w:val="32"/>
          <w:szCs w:val="28"/>
          <w:highlight w:val="none"/>
        </w:rPr>
        <w:t xml:space="preserve"> </w:t>
      </w:r>
      <w:r>
        <w:rPr>
          <w:rFonts w:ascii="Times New Roman" w:hAnsi="Times New Roman" w:eastAsia="宋体" w:cs="Times New Roman"/>
          <w:b/>
          <w:color w:val="auto"/>
          <w:sz w:val="32"/>
          <w:szCs w:val="28"/>
          <w:highlight w:val="none"/>
        </w:rPr>
        <w:t>部</w:t>
      </w:r>
    </w:p>
    <w:p>
      <w:pPr>
        <w:ind w:right="2719" w:rightChars="1295"/>
        <w:jc w:val="right"/>
        <w:rPr>
          <w:rFonts w:ascii="Times New Roman" w:hAnsi="Times New Roman" w:eastAsia="宋体" w:cs="Times New Roman"/>
          <w:b/>
          <w:color w:val="auto"/>
          <w:sz w:val="32"/>
          <w:szCs w:val="28"/>
          <w:highlight w:val="none"/>
        </w:rPr>
      </w:pPr>
      <w:r>
        <w:rPr>
          <w:rFonts w:ascii="Times New Roman" w:hAnsi="Times New Roman" w:eastAsia="宋体" w:cs="Times New Roman"/>
          <w:b/>
          <w:color w:val="auto"/>
          <w:sz w:val="32"/>
          <w:szCs w:val="28"/>
          <w:highlight w:val="none"/>
        </w:rPr>
        <w:t>国家工商行政管理</w:t>
      </w:r>
      <w:r>
        <w:rPr>
          <w:rFonts w:hint="eastAsia" w:ascii="Times New Roman" w:hAnsi="Times New Roman" w:eastAsia="宋体" w:cs="Times New Roman"/>
          <w:b/>
          <w:color w:val="auto"/>
          <w:sz w:val="32"/>
          <w:szCs w:val="28"/>
          <w:highlight w:val="none"/>
        </w:rPr>
        <w:t>总局</w:t>
      </w:r>
    </w:p>
    <w:p>
      <w:pPr>
        <w:rPr>
          <w:rFonts w:ascii="Times New Roman" w:hAnsi="Times New Roman" w:eastAsia="宋体" w:cs="Times New Roman"/>
          <w:b/>
          <w:color w:val="auto"/>
          <w:highlight w:val="none"/>
        </w:rPr>
      </w:pPr>
    </w:p>
    <w:p>
      <w:pPr>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auto"/>
          <w:sz w:val="32"/>
          <w:highlight w:val="none"/>
        </w:rPr>
      </w:pPr>
      <w:r>
        <w:rPr>
          <w:rFonts w:ascii="Times New Roman" w:hAnsi="Times New Roman" w:eastAsia="宋体" w:cs="Times New Roman"/>
          <w:b/>
          <w:color w:val="auto"/>
          <w:highlight w:val="none"/>
        </w:rPr>
        <w:br w:type="page"/>
      </w:r>
      <w:bookmarkStart w:id="453" w:name="_Toc256000082"/>
      <w:r>
        <w:rPr>
          <w:rFonts w:hint="eastAsia" w:ascii="宋体" w:hAnsi="宋体" w:eastAsia="黑体"/>
          <w:b/>
          <w:color w:val="auto"/>
          <w:kern w:val="0"/>
          <w:sz w:val="32"/>
          <w:szCs w:val="20"/>
          <w:highlight w:val="none"/>
          <w:lang w:val="en-US" w:eastAsia="zh-CN" w:bidi="ar-SA"/>
        </w:rPr>
        <w:t>第一部分 合同协议书</w:t>
      </w:r>
      <w:bookmarkEnd w:id="45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发包人（全称）：</w:t>
      </w:r>
      <w:r>
        <w:rPr>
          <w:rFonts w:hint="eastAsia" w:ascii="仿宋" w:hAnsi="仿宋" w:eastAsia="仿宋" w:cs="仿宋"/>
          <w:b/>
          <w:color w:val="auto"/>
          <w:sz w:val="24"/>
          <w:szCs w:val="24"/>
          <w:highlight w:val="none"/>
          <w:u w:val="single"/>
        </w:rPr>
        <w:t>                     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承包人（全称）：</w:t>
      </w:r>
      <w:r>
        <w:rPr>
          <w:rFonts w:hint="eastAsia" w:ascii="仿宋" w:hAnsi="仿宋" w:eastAsia="仿宋" w:cs="仿宋"/>
          <w:b/>
          <w:color w:val="auto"/>
          <w:sz w:val="24"/>
          <w:szCs w:val="24"/>
          <w:highlight w:val="none"/>
          <w:u w:val="single"/>
        </w:rPr>
        <w:t>              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》、《中华人民共和国建筑法》及有关法律规定，遵循平等、自愿、公平和诚实信用的原则，双方就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工程施工及有关事项协商一致，共同达成如下协议：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bookmarkStart w:id="454" w:name="_Toc351203481"/>
      <w:r>
        <w:rPr>
          <w:rFonts w:hint="eastAsia" w:ascii="仿宋" w:hAnsi="仿宋" w:eastAsia="仿宋" w:cs="仿宋"/>
          <w:bCs/>
          <w:color w:val="auto"/>
          <w:sz w:val="24"/>
          <w:szCs w:val="24"/>
          <w:highlight w:val="none"/>
        </w:rPr>
        <w:t>一、工程概况</w:t>
      </w:r>
      <w:bookmarkEnd w:id="45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bCs/>
          <w:color w:val="auto"/>
          <w:sz w:val="24"/>
          <w:szCs w:val="24"/>
          <w:highlight w:val="none"/>
        </w:rPr>
        <w:t>1.工程名称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2.工程地点：</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3.工程立项批准文号：</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4.资金来源：</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5.工程内容：</w:t>
      </w:r>
      <w:r>
        <w:rPr>
          <w:rFonts w:hint="eastAsia" w:ascii="仿宋" w:hAnsi="仿宋" w:eastAsia="仿宋" w:cs="仿宋"/>
          <w:color w:val="auto"/>
          <w:sz w:val="24"/>
          <w:szCs w:val="24"/>
          <w:highlight w:val="none"/>
          <w:u w:val="single"/>
        </w:rPr>
        <w:t xml:space="preserve">       </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群体工程应附《承包人承揽工程项目一览表》（附件1）。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6.工程承包范围：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bookmarkStart w:id="455" w:name="_Toc351203482"/>
      <w:r>
        <w:rPr>
          <w:rFonts w:hint="eastAsia" w:ascii="仿宋" w:hAnsi="仿宋" w:eastAsia="仿宋" w:cs="仿宋"/>
          <w:bCs/>
          <w:color w:val="auto"/>
          <w:sz w:val="24"/>
          <w:szCs w:val="24"/>
          <w:highlight w:val="none"/>
        </w:rPr>
        <w:t>二、合同工期</w:t>
      </w:r>
      <w:bookmarkEnd w:id="45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计划开工日期：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工期总日历天数：</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天。工期总日历天数与根据前述计划开竣工日期计算的工期天数不一致的，以工期总日历天数为准。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bookmarkStart w:id="456" w:name="_Toc351203483"/>
      <w:r>
        <w:rPr>
          <w:rFonts w:hint="eastAsia" w:ascii="仿宋" w:hAnsi="仿宋" w:eastAsia="仿宋" w:cs="仿宋"/>
          <w:bCs/>
          <w:color w:val="auto"/>
          <w:sz w:val="24"/>
          <w:szCs w:val="24"/>
          <w:highlight w:val="none"/>
        </w:rPr>
        <w:t>三、质量标准</w:t>
      </w:r>
      <w:bookmarkEnd w:id="45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工程质量符合</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bookmarkStart w:id="457" w:name="_Toc351203484"/>
      <w:r>
        <w:rPr>
          <w:rFonts w:hint="eastAsia" w:ascii="仿宋" w:hAnsi="仿宋" w:eastAsia="仿宋" w:cs="仿宋"/>
          <w:bCs/>
          <w:color w:val="auto"/>
          <w:sz w:val="24"/>
          <w:szCs w:val="24"/>
          <w:highlight w:val="none"/>
        </w:rPr>
        <w:t>四、签约合同价与合同价格形式</w:t>
      </w:r>
      <w:bookmarkEnd w:id="457"/>
      <w:r>
        <w:rPr>
          <w:rFonts w:hint="eastAsia" w:ascii="仿宋" w:hAnsi="仿宋" w:eastAsia="仿宋" w:cs="仿宋"/>
          <w:bCs/>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（1）安全文明施工费：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（2）材料和工程设备暂估价金额：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（3）专业工程暂估价金额：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（4）暂列金额：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bookmarkStart w:id="458" w:name="_Toc351203485"/>
      <w:r>
        <w:rPr>
          <w:rFonts w:hint="eastAsia" w:ascii="仿宋" w:hAnsi="仿宋" w:eastAsia="仿宋" w:cs="仿宋"/>
          <w:bCs/>
          <w:color w:val="auto"/>
          <w:sz w:val="24"/>
          <w:szCs w:val="24"/>
          <w:highlight w:val="none"/>
        </w:rPr>
        <w:t>五、</w:t>
      </w:r>
      <w:bookmarkEnd w:id="458"/>
      <w:r>
        <w:rPr>
          <w:rFonts w:hint="eastAsia" w:ascii="仿宋" w:hAnsi="仿宋" w:eastAsia="仿宋" w:cs="仿宋"/>
          <w:bCs/>
          <w:color w:val="auto"/>
          <w:sz w:val="24"/>
          <w:szCs w:val="24"/>
          <w:highlight w:val="none"/>
        </w:rPr>
        <w:t>项目经理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承包人项目经理：</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bookmarkStart w:id="459" w:name="_Toc351203486"/>
      <w:r>
        <w:rPr>
          <w:rFonts w:hint="eastAsia" w:ascii="仿宋" w:hAnsi="仿宋" w:eastAsia="仿宋" w:cs="仿宋"/>
          <w:bCs/>
          <w:color w:val="auto"/>
          <w:sz w:val="24"/>
          <w:szCs w:val="24"/>
          <w:highlight w:val="none"/>
        </w:rPr>
        <w:t>六、合同文件构成</w:t>
      </w:r>
      <w:bookmarkEnd w:id="459"/>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本协议书与下列文件一起构成合同文件：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（1）中标通知书（如果有）；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（2）投标函及其附录（如果有）；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（3）专用合同条款及其附件；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（4）通用合同条款；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（5）技术标准和要求；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（6）图纸；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（7）已标价工程量清单或预算书；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（8）其他合同文件。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在合同订立及履行过程中形成的与合同有关的文件均构成合同文件组成部分。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 xml:space="preserve"> </w:t>
      </w:r>
      <w:bookmarkStart w:id="460" w:name="_Toc351203487"/>
      <w:r>
        <w:rPr>
          <w:rFonts w:hint="eastAsia" w:ascii="仿宋" w:hAnsi="仿宋" w:eastAsia="仿宋" w:cs="仿宋"/>
          <w:bCs/>
          <w:color w:val="auto"/>
          <w:sz w:val="24"/>
          <w:szCs w:val="24"/>
          <w:highlight w:val="none"/>
        </w:rPr>
        <w:t>七、承诺</w:t>
      </w:r>
      <w:bookmarkEnd w:id="46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bookmarkStart w:id="461" w:name="_Toc351203488"/>
      <w:r>
        <w:rPr>
          <w:rFonts w:hint="eastAsia" w:ascii="仿宋" w:hAnsi="仿宋" w:eastAsia="仿宋" w:cs="仿宋"/>
          <w:b/>
          <w:color w:val="auto"/>
          <w:sz w:val="24"/>
          <w:szCs w:val="24"/>
          <w:highlight w:val="none"/>
        </w:rPr>
        <w:t xml:space="preserve">    八、词语含义</w:t>
      </w:r>
      <w:bookmarkEnd w:id="46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本协议书中词语含义与第二部分通用合同条款中赋予的含义相同。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bookmarkStart w:id="462" w:name="_Toc351203489"/>
      <w:r>
        <w:rPr>
          <w:rFonts w:hint="eastAsia" w:ascii="仿宋" w:hAnsi="仿宋" w:eastAsia="仿宋" w:cs="仿宋"/>
          <w:bCs/>
          <w:color w:val="auto"/>
          <w:sz w:val="24"/>
          <w:szCs w:val="24"/>
          <w:highlight w:val="none"/>
        </w:rPr>
        <w:t>九、签订时间</w:t>
      </w:r>
      <w:bookmarkEnd w:id="462"/>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本合同于</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日签订。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bookmarkStart w:id="463" w:name="_Toc351203490"/>
      <w:r>
        <w:rPr>
          <w:rFonts w:hint="eastAsia" w:ascii="仿宋" w:hAnsi="仿宋" w:eastAsia="仿宋" w:cs="仿宋"/>
          <w:bCs/>
          <w:color w:val="auto"/>
          <w:sz w:val="24"/>
          <w:szCs w:val="24"/>
          <w:highlight w:val="none"/>
        </w:rPr>
        <w:t>十、签订地点</w:t>
      </w:r>
      <w:bookmarkEnd w:id="463"/>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签订。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bookmarkStart w:id="464" w:name="_Toc351203491"/>
      <w:r>
        <w:rPr>
          <w:rFonts w:hint="eastAsia" w:ascii="仿宋" w:hAnsi="仿宋" w:eastAsia="仿宋" w:cs="仿宋"/>
          <w:bCs/>
          <w:color w:val="auto"/>
          <w:sz w:val="24"/>
          <w:szCs w:val="24"/>
          <w:highlight w:val="none"/>
        </w:rPr>
        <w:t>十一、补充协议</w:t>
      </w:r>
      <w:bookmarkEnd w:id="46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合同未尽事宜，合同当事人另行签订补充协议，补充协议是合同的组成部分。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bookmarkStart w:id="465" w:name="_Toc351203492"/>
      <w:r>
        <w:rPr>
          <w:rFonts w:hint="eastAsia" w:ascii="仿宋" w:hAnsi="仿宋" w:eastAsia="仿宋" w:cs="仿宋"/>
          <w:bCs/>
          <w:color w:val="auto"/>
          <w:sz w:val="24"/>
          <w:szCs w:val="24"/>
          <w:highlight w:val="none"/>
        </w:rPr>
        <w:t>十二、合同生效</w:t>
      </w:r>
      <w:bookmarkEnd w:id="46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本合同自</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生效。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bookmarkStart w:id="466" w:name="_Toc351203493"/>
      <w:r>
        <w:rPr>
          <w:rFonts w:hint="eastAsia" w:ascii="仿宋" w:hAnsi="仿宋" w:eastAsia="仿宋" w:cs="仿宋"/>
          <w:bCs/>
          <w:color w:val="auto"/>
          <w:sz w:val="24"/>
          <w:szCs w:val="24"/>
          <w:highlight w:val="none"/>
        </w:rPr>
        <w:t>十三、合同份数</w:t>
      </w:r>
      <w:bookmarkEnd w:id="46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本合同一式</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份，均具有同等法律效力，发包人执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份，承包人执</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2"/>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000" w:firstLineChars="1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组织机构代码：</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000" w:firstLineChars="1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组织机构代码：</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2"/>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2"/>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2"/>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账号：</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2"/>
          <w:docGrid w:type="lines" w:linePitch="312" w:charSpace="0"/>
        </w:sectPr>
      </w:pPr>
    </w:p>
    <w:p>
      <w:pPr>
        <w:pStyle w:val="4"/>
        <w:pageBreakBefore w:val="0"/>
        <w:kinsoku/>
        <w:wordWrap/>
        <w:overflowPunct/>
        <w:topLinePunct w:val="0"/>
        <w:autoSpaceDE/>
        <w:autoSpaceDN/>
        <w:bidi w:val="0"/>
        <w:adjustRightInd/>
        <w:snapToGrid/>
        <w:spacing w:line="360" w:lineRule="exact"/>
        <w:jc w:val="center"/>
        <w:textAlignment w:val="auto"/>
        <w:rPr>
          <w:rFonts w:ascii="宋体" w:hAnsi="宋体"/>
          <w:color w:val="auto"/>
          <w:sz w:val="32"/>
          <w:highlight w:val="none"/>
        </w:rPr>
      </w:pPr>
      <w:bookmarkStart w:id="467" w:name="_Toc256000083"/>
      <w:r>
        <w:rPr>
          <w:rFonts w:hint="eastAsia" w:ascii="宋体" w:hAnsi="宋体"/>
          <w:color w:val="auto"/>
          <w:sz w:val="32"/>
          <w:highlight w:val="none"/>
        </w:rPr>
        <w:t>第二部分 通用合同条款</w:t>
      </w:r>
      <w:bookmarkEnd w:id="467"/>
    </w:p>
    <w:p>
      <w:pPr>
        <w:keepNext/>
        <w:keepLines/>
        <w:pageBreakBefore w:val="0"/>
        <w:widowControl w:val="0"/>
        <w:kinsoku/>
        <w:wordWrap/>
        <w:overflowPunct/>
        <w:topLinePunct w:val="0"/>
        <w:autoSpaceDE/>
        <w:autoSpaceDN/>
        <w:bidi w:val="0"/>
        <w:adjustRightInd/>
        <w:snapToGrid/>
        <w:spacing w:before="260" w:after="260" w:line="240" w:lineRule="auto"/>
        <w:ind w:firstLine="720" w:firstLineChars="3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1、本项目通用合同条款参照《建设工程施工合同(示范文本)》(GF-2017-0201)通用合同条款执行。</w:t>
      </w:r>
    </w:p>
    <w:p>
      <w:pPr>
        <w:keepNext/>
        <w:keepLines/>
        <w:pageBreakBefore w:val="0"/>
        <w:widowControl w:val="0"/>
        <w:kinsoku/>
        <w:wordWrap/>
        <w:overflowPunct/>
        <w:topLinePunct w:val="0"/>
        <w:autoSpaceDE/>
        <w:autoSpaceDN/>
        <w:bidi w:val="0"/>
        <w:adjustRightInd/>
        <w:snapToGrid/>
        <w:spacing w:before="260" w:after="260" w:line="240" w:lineRule="auto"/>
        <w:ind w:firstLine="720" w:firstLineChars="300"/>
        <w:jc w:val="left"/>
        <w:textAlignment w:val="auto"/>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2、如有最新版本，参照最新版本执行。</w:t>
      </w:r>
    </w:p>
    <w:p>
      <w:pPr>
        <w:pStyle w:val="4"/>
        <w:pageBreakBefore w:val="0"/>
        <w:kinsoku/>
        <w:wordWrap/>
        <w:overflowPunct/>
        <w:topLinePunct w:val="0"/>
        <w:autoSpaceDE/>
        <w:autoSpaceDN/>
        <w:bidi w:val="0"/>
        <w:adjustRightInd/>
        <w:snapToGrid/>
        <w:spacing w:line="360" w:lineRule="exact"/>
        <w:jc w:val="center"/>
        <w:textAlignment w:val="auto"/>
        <w:rPr>
          <w:rFonts w:ascii="宋体" w:hAnsi="宋体"/>
          <w:color w:val="auto"/>
          <w:sz w:val="32"/>
          <w:highlight w:val="none"/>
        </w:rPr>
      </w:pPr>
      <w:bookmarkStart w:id="468" w:name="_Toc256000084"/>
      <w:r>
        <w:rPr>
          <w:rFonts w:hint="eastAsia" w:ascii="宋体" w:hAnsi="宋体"/>
          <w:color w:val="auto"/>
          <w:sz w:val="32"/>
          <w:highlight w:val="none"/>
        </w:rPr>
        <w:t>第三部分 专用合同条款</w:t>
      </w:r>
      <w:bookmarkEnd w:id="468"/>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469" w:name="_Toc351203633"/>
      <w:r>
        <w:rPr>
          <w:rFonts w:hint="eastAsia" w:ascii="仿宋" w:hAnsi="仿宋" w:eastAsia="仿宋" w:cs="仿宋"/>
          <w:bCs/>
          <w:color w:val="auto"/>
          <w:sz w:val="24"/>
          <w:szCs w:val="24"/>
          <w:highlight w:val="none"/>
        </w:rPr>
        <w:t>1</w:t>
      </w:r>
      <w:bookmarkStart w:id="470" w:name="_Toc292559866"/>
      <w:bookmarkStart w:id="471" w:name="_Toc296346657"/>
      <w:bookmarkStart w:id="472" w:name="_Toc296503156"/>
      <w:bookmarkStart w:id="473" w:name="_Toc296891196"/>
      <w:bookmarkStart w:id="474" w:name="_Toc297048342"/>
      <w:bookmarkStart w:id="475" w:name="_Toc296944495"/>
      <w:bookmarkStart w:id="476" w:name="_Toc297120456"/>
      <w:bookmarkStart w:id="477" w:name="_Toc292559361"/>
      <w:bookmarkStart w:id="478" w:name="_Toc296890984"/>
      <w:bookmarkStart w:id="479" w:name="_Toc296347155"/>
      <w:r>
        <w:rPr>
          <w:rFonts w:hint="eastAsia" w:ascii="仿宋" w:hAnsi="仿宋" w:eastAsia="仿宋" w:cs="仿宋"/>
          <w:bCs/>
          <w:color w:val="auto"/>
          <w:sz w:val="24"/>
          <w:szCs w:val="24"/>
          <w:highlight w:val="none"/>
        </w:rPr>
        <w:t>. 一般约定</w:t>
      </w:r>
      <w:bookmarkEnd w:id="469"/>
    </w:p>
    <w:bookmarkEnd w:id="470"/>
    <w:bookmarkEnd w:id="471"/>
    <w:bookmarkEnd w:id="472"/>
    <w:bookmarkEnd w:id="473"/>
    <w:bookmarkEnd w:id="474"/>
    <w:bookmarkEnd w:id="475"/>
    <w:bookmarkEnd w:id="476"/>
    <w:bookmarkEnd w:id="477"/>
    <w:bookmarkEnd w:id="478"/>
    <w:bookmarkEnd w:id="47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词语定义</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1.1.1合同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1.1.1.10其他合同文件包括：</w:t>
      </w:r>
      <w:r>
        <w:rPr>
          <w:rFonts w:hint="eastAsia" w:ascii="仿宋" w:hAnsi="仿宋" w:eastAsia="仿宋" w:cs="仿宋"/>
          <w:color w:val="auto"/>
          <w:sz w:val="24"/>
          <w:szCs w:val="24"/>
          <w:highlight w:val="none"/>
          <w:u w:val="single"/>
        </w:rPr>
        <w:t xml:space="preserve">     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合同当事人及其他相关方</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1.1.2.4监理人：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 设计人：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资质类别和等级：</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工程和设备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1.1.3.7 作为施工现场组成部分的其他场所包括：</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1.1.3.9 永久占地包括：</w:t>
      </w:r>
      <w:r>
        <w:rPr>
          <w:rFonts w:hint="eastAsia" w:ascii="仿宋" w:hAnsi="仿宋" w:eastAsia="仿宋" w:cs="仿宋"/>
          <w:color w:val="auto"/>
          <w:sz w:val="24"/>
          <w:szCs w:val="24"/>
          <w:highlight w:val="none"/>
          <w:u w:val="single"/>
        </w:rPr>
        <w:t xml:space="preserve">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1.1.3.10 临时占地包括：</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1.3法律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适用于合同的其他规范性文件：</w:t>
      </w:r>
      <w:r>
        <w:rPr>
          <w:rFonts w:hint="eastAsia" w:ascii="仿宋" w:hAnsi="仿宋" w:eastAsia="仿宋" w:cs="仿宋"/>
          <w:color w:val="auto"/>
          <w:sz w:val="24"/>
          <w:szCs w:val="24"/>
          <w:highlight w:val="none"/>
          <w:u w:val="single"/>
        </w:rPr>
        <w:t xml:space="preserve">    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标准和规范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1.4.1适用于工程的标准规范包括：</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1.4.3发包人对工程的技术标准和功能要求的特殊要求：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合同文件的优先顺序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合同文件组成及优先顺序为：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   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图纸和承包人文件</w:t>
      </w:r>
      <w:r>
        <w:rPr>
          <w:rFonts w:hint="eastAsia" w:ascii="仿宋" w:hAnsi="仿宋" w:eastAsia="仿宋" w:cs="仿宋"/>
          <w:color w:val="auto"/>
          <w:sz w:val="24"/>
          <w:szCs w:val="24"/>
          <w:highlight w:val="none"/>
        </w:rPr>
        <w:tab/>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图纸的提供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发包人向承包人提供图纸的期限：</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发包人向承包人提供图纸的数量：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发包人向承包人提供图纸的内容：</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承包人文件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需要由承包人提供的文件，包括：</w:t>
      </w:r>
      <w:r>
        <w:rPr>
          <w:rFonts w:hint="eastAsia" w:ascii="仿宋" w:hAnsi="仿宋" w:eastAsia="仿宋" w:cs="仿宋"/>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承包人提供的文件的期限为：</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承包人提供的文件的数量为：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承包人提供的文件的形式为：</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发包人审批承包人文件的期限：</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现场图纸准备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关于现场图纸准备的约定：</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联络</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1.7.1发包人和承包人应当在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天内将与合同有关的通知、批准、证明、证书、指示、指令、要求、请求、同意、意见、确定和决定等书面函件送达对方当事人。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发包人接收文件的地点：</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发包人指定的接收人为：</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承包人接收文件的地点：</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承包人指定的接收人为：</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监理人接收文件的地点：</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监理人指定的接收人为：</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 交通运输</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80" w:name="_Toc318581155"/>
      <w:bookmarkStart w:id="481" w:name="_Toc303539100"/>
      <w:bookmarkStart w:id="482" w:name="_Toc304295521"/>
      <w:bookmarkStart w:id="483" w:name="_Toc312677986"/>
      <w:bookmarkStart w:id="484" w:name="_Toc300934943"/>
      <w:r>
        <w:rPr>
          <w:rFonts w:hint="eastAsia" w:ascii="仿宋" w:hAnsi="仿宋" w:eastAsia="仿宋" w:cs="仿宋"/>
          <w:color w:val="auto"/>
          <w:sz w:val="24"/>
          <w:szCs w:val="24"/>
          <w:highlight w:val="none"/>
        </w:rPr>
        <w:t>.10.1 出入现场的权利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关于出入现场的权利的约定：</w:t>
      </w:r>
      <w:r>
        <w:rPr>
          <w:rFonts w:hint="eastAsia" w:ascii="仿宋" w:hAnsi="仿宋" w:eastAsia="仿宋" w:cs="仿宋"/>
          <w:color w:val="auto"/>
          <w:sz w:val="24"/>
          <w:szCs w:val="24"/>
          <w:highlight w:val="none"/>
          <w:u w:val="single"/>
        </w:rPr>
        <w:t> 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                            </w:t>
      </w:r>
      <w:r>
        <w:rPr>
          <w:rFonts w:hint="eastAsia" w:ascii="仿宋" w:hAnsi="仿宋" w:eastAsia="仿宋" w:cs="仿宋"/>
          <w:color w:val="auto"/>
          <w:sz w:val="24"/>
          <w:szCs w:val="24"/>
          <w:highlight w:val="none"/>
        </w:rPr>
        <w:t>。</w:t>
      </w:r>
    </w:p>
    <w:bookmarkEnd w:id="480"/>
    <w:bookmarkEnd w:id="481"/>
    <w:bookmarkEnd w:id="482"/>
    <w:bookmarkEnd w:id="483"/>
    <w:bookmarkEnd w:id="484"/>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485" w:name="_Toc300934944"/>
      <w:bookmarkStart w:id="486" w:name="_Toc312677987"/>
      <w:bookmarkStart w:id="487" w:name="_Toc303539101"/>
      <w:bookmarkStart w:id="488" w:name="_Toc304295522"/>
      <w:bookmarkStart w:id="489" w:name="_Toc318581156"/>
      <w:r>
        <w:rPr>
          <w:rFonts w:hint="eastAsia" w:ascii="仿宋" w:hAnsi="仿宋" w:eastAsia="仿宋" w:cs="仿宋"/>
          <w:color w:val="auto"/>
          <w:sz w:val="24"/>
          <w:szCs w:val="24"/>
          <w:highlight w:val="none"/>
        </w:rPr>
        <w:t>.10.3 场内交通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关于场外交通和场内交通的边界的约定：</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关于发包人向承包人免费提供满足工程施工需要的场内道路和交通设施的约定：</w:t>
      </w:r>
      <w:r>
        <w:rPr>
          <w:rFonts w:hint="eastAsia" w:ascii="仿宋" w:hAnsi="仿宋" w:eastAsia="仿宋" w:cs="仿宋"/>
          <w:color w:val="auto"/>
          <w:sz w:val="24"/>
          <w:szCs w:val="24"/>
          <w:highlight w:val="none"/>
          <w:u w:val="single"/>
        </w:rPr>
        <w:t>                                        </w:t>
      </w:r>
      <w:r>
        <w:rPr>
          <w:rFonts w:hint="eastAsia" w:ascii="仿宋" w:hAnsi="仿宋" w:eastAsia="仿宋" w:cs="仿宋"/>
          <w:color w:val="auto"/>
          <w:sz w:val="24"/>
          <w:szCs w:val="24"/>
          <w:highlight w:val="none"/>
        </w:rPr>
        <w:t>。</w:t>
      </w:r>
      <w:bookmarkEnd w:id="485"/>
      <w:bookmarkEnd w:id="486"/>
      <w:bookmarkEnd w:id="487"/>
      <w:bookmarkEnd w:id="488"/>
      <w:bookmarkEnd w:id="489"/>
      <w:r>
        <w:rPr>
          <w:rFonts w:hint="eastAsia" w:ascii="仿宋" w:hAnsi="仿宋" w:eastAsia="仿宋" w:cs="仿宋"/>
          <w:color w:val="auto"/>
          <w:sz w:val="24"/>
          <w:szCs w:val="24"/>
          <w:highlight w:val="none"/>
        </w:rPr>
        <w:t xml:space="preserve">  </w:t>
      </w:r>
      <w:bookmarkStart w:id="490" w:name="_Toc318581157"/>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1.10.4超大件和超重件的运输</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运输超大件或超重件所需的道路和桥梁临时加固改造费用和其他有关费用由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bookmarkEnd w:id="490"/>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知识产权</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1.11.1关于发包人提供给承包人的图纸、发包人为实施工程自行编制或委托编制的技术规范以及反映发包人关于合同要求或其他类似性质的文件的著作权的归属：</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关于发包人提供的上述文件的使用限制的要求：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 关于承包人为实施工程所编制文件的著作权的归属：</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关于承包人提供的上述文件的使用限制的要求：</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 承包人在施工过程中所采用的专利、专有技术、技术秘密的使用费的承担方式：</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1.13工程量清单错误的修正</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出现工程量清单错误时，是否调整合同价格：</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允许调整合同价格的工程量偏差范围：</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491" w:name="_Toc351203634"/>
      <w:r>
        <w:rPr>
          <w:rFonts w:hint="eastAsia" w:ascii="仿宋" w:hAnsi="仿宋" w:eastAsia="仿宋" w:cs="仿宋"/>
          <w:bCs/>
          <w:color w:val="auto"/>
          <w:sz w:val="24"/>
          <w:szCs w:val="24"/>
          <w:highlight w:val="none"/>
        </w:rPr>
        <w:t>2</w:t>
      </w:r>
      <w:bookmarkStart w:id="492" w:name="_Toc292559867"/>
      <w:bookmarkStart w:id="493" w:name="_Toc296347156"/>
      <w:bookmarkStart w:id="494" w:name="_Toc296503157"/>
      <w:bookmarkStart w:id="495" w:name="_Toc292559362"/>
      <w:bookmarkStart w:id="496" w:name="_Toc296346658"/>
      <w:bookmarkStart w:id="497" w:name="_Toc296891197"/>
      <w:bookmarkStart w:id="498" w:name="_Toc297048343"/>
      <w:bookmarkStart w:id="499" w:name="_Toc296890985"/>
      <w:bookmarkStart w:id="500" w:name="_Toc297120457"/>
      <w:bookmarkStart w:id="501" w:name="_Toc296944496"/>
      <w:r>
        <w:rPr>
          <w:rFonts w:hint="eastAsia" w:ascii="仿宋" w:hAnsi="仿宋" w:eastAsia="仿宋" w:cs="仿宋"/>
          <w:bCs/>
          <w:color w:val="auto"/>
          <w:sz w:val="24"/>
          <w:szCs w:val="24"/>
          <w:highlight w:val="none"/>
        </w:rPr>
        <w:t>. 发包人</w:t>
      </w:r>
      <w:bookmarkEnd w:id="491"/>
    </w:p>
    <w:bookmarkEnd w:id="492"/>
    <w:bookmarkEnd w:id="493"/>
    <w:bookmarkEnd w:id="494"/>
    <w:bookmarkEnd w:id="495"/>
    <w:bookmarkEnd w:id="496"/>
    <w:bookmarkEnd w:id="497"/>
    <w:bookmarkEnd w:id="498"/>
    <w:bookmarkEnd w:id="499"/>
    <w:bookmarkEnd w:id="500"/>
    <w:bookmarkEnd w:id="501"/>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发包人代表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发包人代表：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发包人对发包人代表的授权范围如下：</w:t>
      </w:r>
      <w:r>
        <w:rPr>
          <w:rFonts w:hint="eastAsia" w:ascii="仿宋" w:hAnsi="仿宋" w:eastAsia="仿宋" w:cs="仿宋"/>
          <w:color w:val="auto"/>
          <w:sz w:val="24"/>
          <w:szCs w:val="24"/>
          <w:highlight w:val="none"/>
          <w:u w:val="single"/>
        </w:rPr>
        <w:t>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施工现场、施工条件和基础资料的提供</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 提供施工现场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关于发包人移交施工现场的期限要求：</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提供施工条件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关于发包人应负责提供施工所需要的条件，包括：</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资金来源证明及支付担保</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发包人提供资金来源证明的期限要求：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发包人是否提供支付担保：</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发包人提供支付担保的形式：</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502" w:name="_Toc351203635"/>
      <w:r>
        <w:rPr>
          <w:rFonts w:hint="eastAsia" w:ascii="仿宋" w:hAnsi="仿宋" w:eastAsia="仿宋" w:cs="仿宋"/>
          <w:bCs/>
          <w:color w:val="auto"/>
          <w:sz w:val="24"/>
          <w:szCs w:val="24"/>
          <w:highlight w:val="none"/>
        </w:rPr>
        <w:t>3</w:t>
      </w:r>
      <w:bookmarkStart w:id="503" w:name="_Toc292559363"/>
      <w:bookmarkStart w:id="504" w:name="_Toc296891198"/>
      <w:bookmarkStart w:id="505" w:name="_Toc297120458"/>
      <w:bookmarkStart w:id="506" w:name="_Toc296503158"/>
      <w:bookmarkStart w:id="507" w:name="_Toc292559868"/>
      <w:bookmarkStart w:id="508" w:name="_Toc296347157"/>
      <w:bookmarkStart w:id="509" w:name="_Toc296890986"/>
      <w:bookmarkStart w:id="510" w:name="_Toc296346659"/>
      <w:bookmarkStart w:id="511" w:name="_Toc296944497"/>
      <w:bookmarkStart w:id="512" w:name="_Toc297048344"/>
      <w:r>
        <w:rPr>
          <w:rFonts w:hint="eastAsia" w:ascii="仿宋" w:hAnsi="仿宋" w:eastAsia="仿宋" w:cs="仿宋"/>
          <w:bCs/>
          <w:color w:val="auto"/>
          <w:sz w:val="24"/>
          <w:szCs w:val="24"/>
          <w:highlight w:val="none"/>
        </w:rPr>
        <w:t>. 承包人</w:t>
      </w:r>
      <w:bookmarkEnd w:id="502"/>
    </w:p>
    <w:bookmarkEnd w:id="503"/>
    <w:bookmarkEnd w:id="504"/>
    <w:bookmarkEnd w:id="505"/>
    <w:bookmarkEnd w:id="506"/>
    <w:bookmarkEnd w:id="507"/>
    <w:bookmarkEnd w:id="508"/>
    <w:bookmarkEnd w:id="509"/>
    <w:bookmarkEnd w:id="510"/>
    <w:bookmarkEnd w:id="511"/>
    <w:bookmarkEnd w:id="51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承包人的一般义务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（9）承包人提交的竣工资料的内容：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承包人需要提交的竣工资料套数：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承包人提交的竣工资料的费用承担：</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承包人提交的竣工资料移交时间：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承包人提交的竣工资料形式要求：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（10）承包人应履行的其他义务：</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项目经理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 项目经理：</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建造师执业资格等级：</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建造师执业印章号：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安全生产考核合格证书号：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承包人对项目经理的授权范围如下：</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关于项目经理每月在施工现场的时间要求：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承包人未提交劳动合同，以及没有为项目经理缴纳社会保险证明的违约责任：</w:t>
      </w:r>
      <w:r>
        <w:rPr>
          <w:rFonts w:hint="eastAsia" w:ascii="仿宋" w:hAnsi="仿宋" w:eastAsia="仿宋" w:cs="仿宋"/>
          <w:color w:val="auto"/>
          <w:sz w:val="24"/>
          <w:szCs w:val="24"/>
          <w:highlight w:val="none"/>
          <w:u w:val="single"/>
        </w:rPr>
        <w:t xml:space="preserve">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项目经理未经批准，擅自离开施工现场的违约责任：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 承包人擅自更换项目经理的违约责任：</w:t>
      </w:r>
      <w:r>
        <w:rPr>
          <w:rFonts w:hint="eastAsia" w:ascii="仿宋" w:hAnsi="仿宋" w:eastAsia="仿宋" w:cs="仿宋"/>
          <w:color w:val="auto"/>
          <w:sz w:val="24"/>
          <w:szCs w:val="24"/>
          <w:highlight w:val="none"/>
          <w:u w:val="single"/>
        </w:rPr>
        <w:t xml:space="preserve">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 承包人人员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承包人提交项目管理机构及施工现场管理人员安排报告的期限：</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 承包人无正当理由拒绝撤换主要施工管理人员的违约责任：</w:t>
      </w:r>
      <w:r>
        <w:rPr>
          <w:rFonts w:hint="eastAsia" w:ascii="仿宋" w:hAnsi="仿宋" w:eastAsia="仿宋" w:cs="仿宋"/>
          <w:color w:val="auto"/>
          <w:sz w:val="24"/>
          <w:szCs w:val="24"/>
          <w:highlight w:val="none"/>
          <w:u w:val="single"/>
        </w:rPr>
        <w:t xml:space="preserve">                          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3.3.4 承包人主要施工管理人员离开施工现场的批准要求：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3.3.5承包人擅自更换主要施工管理人员的违约责任：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承包人主要施工管理人员擅自离开施工现场的违约责任：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13" w:name="_Toc312677988"/>
      <w:bookmarkStart w:id="514" w:name="_Toc297048345"/>
      <w:bookmarkStart w:id="515" w:name="_Toc297123492"/>
      <w:bookmarkStart w:id="516" w:name="_Toc296944498"/>
      <w:bookmarkStart w:id="517" w:name="_Toc304295523"/>
      <w:bookmarkStart w:id="518" w:name="_Toc296891199"/>
      <w:bookmarkStart w:id="519" w:name="_Toc297216151"/>
      <w:bookmarkStart w:id="520" w:name="_Toc296890987"/>
      <w:bookmarkStart w:id="521" w:name="_Toc292559364"/>
      <w:bookmarkStart w:id="522" w:name="_Toc297120459"/>
      <w:bookmarkStart w:id="523" w:name="_Toc300934945"/>
      <w:bookmarkStart w:id="524" w:name="_Toc296346660"/>
      <w:bookmarkStart w:id="525" w:name="_Toc296503159"/>
      <w:bookmarkStart w:id="526" w:name="_Toc292559869"/>
      <w:bookmarkStart w:id="527" w:name="_Toc303539102"/>
      <w:bookmarkStart w:id="528" w:name="_Toc296347158"/>
      <w:r>
        <w:rPr>
          <w:rFonts w:hint="eastAsia" w:ascii="仿宋" w:hAnsi="仿宋" w:eastAsia="仿宋" w:cs="仿宋"/>
          <w:color w:val="auto"/>
          <w:sz w:val="24"/>
          <w:szCs w:val="24"/>
          <w:highlight w:val="none"/>
        </w:rPr>
        <w:t>.5 分包</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29" w:name="_Toc296346661"/>
      <w:bookmarkStart w:id="530" w:name="_Toc296503160"/>
      <w:bookmarkStart w:id="531" w:name="_Toc297120460"/>
      <w:bookmarkStart w:id="532" w:name="_Toc296890988"/>
      <w:bookmarkStart w:id="533" w:name="_Toc297048346"/>
      <w:bookmarkStart w:id="534" w:name="_Toc296347159"/>
      <w:bookmarkStart w:id="535" w:name="_Toc304295524"/>
      <w:bookmarkStart w:id="536" w:name="_Toc292559365"/>
      <w:bookmarkStart w:id="537" w:name="_Toc292559870"/>
      <w:bookmarkStart w:id="538" w:name="_Toc296944499"/>
      <w:bookmarkStart w:id="539" w:name="_Toc297216152"/>
      <w:bookmarkStart w:id="540" w:name="_Toc296891200"/>
      <w:bookmarkStart w:id="541" w:name="_Toc303539103"/>
      <w:bookmarkStart w:id="542" w:name="_Toc300934946"/>
      <w:bookmarkStart w:id="543" w:name="_Toc297123493"/>
      <w:bookmarkStart w:id="544" w:name="_Toc312677989"/>
      <w:bookmarkStart w:id="545" w:name="_Toc318581158"/>
      <w:r>
        <w:rPr>
          <w:rFonts w:hint="eastAsia" w:ascii="仿宋" w:hAnsi="仿宋" w:eastAsia="仿宋" w:cs="仿宋"/>
          <w:color w:val="auto"/>
          <w:sz w:val="24"/>
          <w:szCs w:val="24"/>
          <w:highlight w:val="none"/>
        </w:rPr>
        <w:t>.5.1 分包的一般约定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禁止分包的工程包括：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主体结构、关键性工作的范围：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Start w:id="546" w:name="_Toc296347160"/>
      <w:bookmarkStart w:id="547" w:name="_Toc296890989"/>
      <w:bookmarkStart w:id="548" w:name="_Toc297048347"/>
      <w:bookmarkStart w:id="549" w:name="_Toc296891201"/>
      <w:bookmarkStart w:id="550" w:name="_Toc300934947"/>
      <w:bookmarkStart w:id="551" w:name="_Toc296944500"/>
      <w:bookmarkStart w:id="552" w:name="_Toc304295525"/>
      <w:bookmarkStart w:id="553" w:name="_Toc296346662"/>
      <w:bookmarkStart w:id="554" w:name="_Toc297120461"/>
      <w:bookmarkStart w:id="555" w:name="_Toc296503161"/>
      <w:bookmarkStart w:id="556" w:name="_Toc297216153"/>
      <w:bookmarkStart w:id="557" w:name="_Toc297123494"/>
      <w:bookmarkStart w:id="558" w:name="_Toc303539104"/>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59" w:name="_Toc312677990"/>
      <w:bookmarkStart w:id="560" w:name="_Toc318581159"/>
      <w:r>
        <w:rPr>
          <w:rFonts w:hint="eastAsia" w:ascii="仿宋" w:hAnsi="仿宋" w:eastAsia="仿宋" w:cs="仿宋"/>
          <w:color w:val="auto"/>
          <w:sz w:val="24"/>
          <w:szCs w:val="24"/>
          <w:highlight w:val="none"/>
        </w:rPr>
        <w:t>.5.2分包的确定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允许分包的专业工程包括：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其他关于分包的约定：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 分包合同价款</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关于分包合同价款支付的约定：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559"/>
    <w:bookmarkEnd w:id="560"/>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 工程照管与成品、半成品保护</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承包人负责照管工程及工程相关的材料、工程设备的起始时间：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 履约担保</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承包人是否提供履约担保：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承包人提供履约担保的形式、金额及期限：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561" w:name="_Toc351203636"/>
      <w:r>
        <w:rPr>
          <w:rFonts w:hint="eastAsia" w:ascii="仿宋" w:hAnsi="仿宋" w:eastAsia="仿宋" w:cs="仿宋"/>
          <w:bCs/>
          <w:color w:val="auto"/>
          <w:sz w:val="24"/>
          <w:szCs w:val="24"/>
          <w:highlight w:val="none"/>
        </w:rPr>
        <w:t>4</w:t>
      </w:r>
      <w:bookmarkStart w:id="562" w:name="_Toc297048348"/>
      <w:bookmarkStart w:id="563" w:name="_Toc296944501"/>
      <w:bookmarkStart w:id="564" w:name="_Toc296503162"/>
      <w:bookmarkStart w:id="565" w:name="_Toc292559366"/>
      <w:bookmarkStart w:id="566" w:name="_Toc267251413"/>
      <w:bookmarkStart w:id="567" w:name="_Toc296890990"/>
      <w:bookmarkStart w:id="568" w:name="_Toc296891202"/>
      <w:bookmarkStart w:id="569" w:name="_Toc296346663"/>
      <w:bookmarkStart w:id="570" w:name="_Toc292559871"/>
      <w:bookmarkStart w:id="571" w:name="_Toc296347161"/>
      <w:bookmarkStart w:id="572" w:name="_Toc297120462"/>
      <w:r>
        <w:rPr>
          <w:rFonts w:hint="eastAsia" w:ascii="仿宋" w:hAnsi="仿宋" w:eastAsia="仿宋" w:cs="仿宋"/>
          <w:bCs/>
          <w:color w:val="auto"/>
          <w:sz w:val="24"/>
          <w:szCs w:val="24"/>
          <w:highlight w:val="none"/>
        </w:rPr>
        <w:t>. 监</w:t>
      </w:r>
      <w:bookmarkEnd w:id="562"/>
      <w:bookmarkEnd w:id="563"/>
      <w:bookmarkEnd w:id="564"/>
      <w:bookmarkEnd w:id="565"/>
      <w:bookmarkEnd w:id="566"/>
      <w:bookmarkEnd w:id="567"/>
      <w:bookmarkEnd w:id="568"/>
      <w:bookmarkEnd w:id="569"/>
      <w:bookmarkEnd w:id="570"/>
      <w:bookmarkEnd w:id="571"/>
      <w:bookmarkEnd w:id="572"/>
      <w:r>
        <w:rPr>
          <w:rFonts w:hint="eastAsia" w:ascii="仿宋" w:hAnsi="仿宋" w:eastAsia="仿宋" w:cs="仿宋"/>
          <w:bCs/>
          <w:color w:val="auto"/>
          <w:sz w:val="24"/>
          <w:szCs w:val="24"/>
          <w:highlight w:val="none"/>
        </w:rPr>
        <w:t>理人</w:t>
      </w:r>
      <w:bookmarkEnd w:id="561"/>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4.1监理人的一般规定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关于监理人的监理权限：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关于监理人在施工现场的办公场所、生活场所的提供和费用承担的约定：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监理人员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总监理工程师：</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监理工程师执业资格证书号：</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通信地址：</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关于监理人的其他约定：</w:t>
      </w:r>
      <w:r>
        <w:rPr>
          <w:rFonts w:hint="eastAsia" w:ascii="仿宋" w:hAnsi="仿宋" w:eastAsia="仿宋" w:cs="仿宋"/>
          <w:color w:val="auto"/>
          <w:sz w:val="24"/>
          <w:szCs w:val="24"/>
          <w:highlight w:val="none"/>
          <w:u w:val="single"/>
        </w:rPr>
        <w:t>  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 商定或确定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bookmarkStart w:id="573" w:name="_Toc267251418"/>
      <w:r>
        <w:rPr>
          <w:rFonts w:hint="eastAsia" w:ascii="仿宋" w:hAnsi="仿宋" w:eastAsia="仿宋" w:cs="仿宋"/>
          <w:color w:val="auto"/>
          <w:sz w:val="24"/>
          <w:szCs w:val="24"/>
          <w:highlight w:val="none"/>
        </w:rPr>
        <w:t>在发包人和承包人不能通过协商达成一致意见时，发包人授权监理人对以下事项进行确定：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574" w:name="_Toc351203637"/>
      <w:r>
        <w:rPr>
          <w:rFonts w:hint="eastAsia" w:ascii="仿宋" w:hAnsi="仿宋" w:eastAsia="仿宋" w:cs="仿宋"/>
          <w:bCs/>
          <w:color w:val="auto"/>
          <w:sz w:val="24"/>
          <w:szCs w:val="24"/>
          <w:highlight w:val="none"/>
        </w:rPr>
        <w:t>5</w:t>
      </w:r>
      <w:bookmarkEnd w:id="573"/>
      <w:bookmarkStart w:id="575" w:name="_Toc296944502"/>
      <w:bookmarkStart w:id="576" w:name="_Toc296503163"/>
      <w:bookmarkStart w:id="577" w:name="_Toc297048349"/>
      <w:bookmarkStart w:id="578" w:name="_Toc296890991"/>
      <w:bookmarkStart w:id="579" w:name="_Toc297120463"/>
      <w:bookmarkStart w:id="580" w:name="_Toc292559872"/>
      <w:bookmarkStart w:id="581" w:name="_Toc296891203"/>
      <w:bookmarkStart w:id="582" w:name="_Toc296346664"/>
      <w:bookmarkStart w:id="583" w:name="_Toc292559367"/>
      <w:bookmarkStart w:id="584" w:name="_Toc296347162"/>
      <w:r>
        <w:rPr>
          <w:rFonts w:hint="eastAsia" w:ascii="仿宋" w:hAnsi="仿宋" w:eastAsia="仿宋" w:cs="仿宋"/>
          <w:bCs/>
          <w:color w:val="auto"/>
          <w:sz w:val="24"/>
          <w:szCs w:val="24"/>
          <w:highlight w:val="none"/>
        </w:rPr>
        <w:t>. 工程质量</w:t>
      </w:r>
      <w:bookmarkEnd w:id="574"/>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质量要求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w:t>
      </w:r>
      <w:bookmarkStart w:id="585" w:name="_Toc297123496"/>
      <w:bookmarkStart w:id="586" w:name="_Toc304295527"/>
      <w:bookmarkStart w:id="587" w:name="_Toc318581164"/>
      <w:bookmarkStart w:id="588" w:name="_Toc297216155"/>
      <w:bookmarkStart w:id="589" w:name="_Toc300934949"/>
      <w:bookmarkStart w:id="590" w:name="_Toc312677997"/>
      <w:bookmarkStart w:id="591" w:name="_Toc303539106"/>
      <w:r>
        <w:rPr>
          <w:rFonts w:hint="eastAsia" w:ascii="仿宋" w:hAnsi="仿宋" w:eastAsia="仿宋" w:cs="仿宋"/>
          <w:color w:val="auto"/>
          <w:sz w:val="24"/>
          <w:szCs w:val="24"/>
          <w:highlight w:val="none"/>
        </w:rPr>
        <w:t>.1.1 特殊质量标准和要求：</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关于工程奖项的约定：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隐蔽工程检查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5.3.2承包人提前通知监理人隐蔽工程检查的期限的约定：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监理人不能按时进行检查时，应提前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小时提交书面延期要求。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592" w:name="_Toc351203638"/>
      <w:r>
        <w:rPr>
          <w:rFonts w:hint="eastAsia" w:ascii="仿宋" w:hAnsi="仿宋" w:eastAsia="仿宋" w:cs="仿宋"/>
          <w:bCs/>
          <w:color w:val="auto"/>
          <w:sz w:val="24"/>
          <w:szCs w:val="24"/>
          <w:highlight w:val="none"/>
        </w:rPr>
        <w:t>6. 安全文明施工与环境保护</w:t>
      </w:r>
      <w:bookmarkEnd w:id="592"/>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6.1安全文明施工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6.1.1 项目安全生产的达标目标及相应事项的约定：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6.1.4 关于治安保卫的特别约定：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关于编制施工场地治安管理计划的约定：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br w:type="textWrapping"/>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6.1.5 文明施工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合同当事人对文明施工的要求：</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6.1.6 关于安全文明施工费支付比例和支付期限的约定：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585"/>
    <w:bookmarkEnd w:id="586"/>
    <w:bookmarkEnd w:id="587"/>
    <w:bookmarkEnd w:id="588"/>
    <w:bookmarkEnd w:id="589"/>
    <w:bookmarkEnd w:id="590"/>
    <w:bookmarkEnd w:id="591"/>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593" w:name="_Toc351203639"/>
      <w:r>
        <w:rPr>
          <w:rFonts w:hint="eastAsia" w:ascii="仿宋" w:hAnsi="仿宋" w:eastAsia="仿宋" w:cs="仿宋"/>
          <w:bCs/>
          <w:color w:val="auto"/>
          <w:sz w:val="24"/>
          <w:szCs w:val="24"/>
          <w:highlight w:val="none"/>
        </w:rPr>
        <w:t>7. 工期和进度</w:t>
      </w:r>
      <w:bookmarkEnd w:id="593"/>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施工组织设计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7.1.1 合同当事人约定的施工组织设计应包括的其他内容：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7.1.2 施工组织设计的提交和修改</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承包人提交详细施工组织设计的期限的约定：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发包人和监理人在收到详细的施工组织设计后确认或提出修改意见的期限：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594" w:name="_Toc304295541"/>
      <w:bookmarkStart w:id="595" w:name="_Toc297123514"/>
      <w:bookmarkStart w:id="596" w:name="_Toc300934966"/>
      <w:bookmarkStart w:id="597" w:name="_Toc303539123"/>
      <w:bookmarkStart w:id="598" w:name="_Toc312678005"/>
      <w:bookmarkStart w:id="599" w:name="_Toc297216173"/>
      <w:bookmarkStart w:id="600" w:name="_Toc312677479"/>
      <w:r>
        <w:rPr>
          <w:rFonts w:hint="eastAsia" w:ascii="仿宋" w:hAnsi="仿宋" w:eastAsia="仿宋" w:cs="仿宋"/>
          <w:color w:val="auto"/>
          <w:sz w:val="24"/>
          <w:szCs w:val="24"/>
          <w:highlight w:val="none"/>
        </w:rPr>
        <w:t>.2 施工进度计划</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 施工进度计划的修订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发包人和监理人在收到修订的施工进度计划后确认或提出修改意见的期限：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 开工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7.3.1 开工准备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关于承包人提交工程开工报审表的期限：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关于发包人应完成的其他开工准备工作及期限：</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关于承包人应完成的其他开工准备工作及期限：</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7.3.2开工通知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因发包人原因造成监理人未能在计划开工日期之日起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天内发出开工通知的，承包人有权提出价格调整要求，或者解除合同。</w:t>
      </w:r>
    </w:p>
    <w:bookmarkEnd w:id="594"/>
    <w:bookmarkEnd w:id="595"/>
    <w:bookmarkEnd w:id="596"/>
    <w:bookmarkEnd w:id="597"/>
    <w:bookmarkEnd w:id="598"/>
    <w:bookmarkEnd w:id="599"/>
    <w:bookmarkEnd w:id="600"/>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 测量放线</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7.4.1发包人通过监理人向承包人提供测量基准点、基准线和水准点及其书面资料的期限：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601" w:name="_Toc297123516"/>
      <w:bookmarkStart w:id="602" w:name="_Toc304295546"/>
      <w:bookmarkStart w:id="603" w:name="_Toc300934968"/>
      <w:bookmarkStart w:id="604" w:name="_Toc303539125"/>
      <w:bookmarkStart w:id="605" w:name="_Toc297216175"/>
      <w:bookmarkStart w:id="606" w:name="_Toc312678010"/>
      <w:bookmarkStart w:id="607" w:name="_Toc312677484"/>
      <w:r>
        <w:rPr>
          <w:rFonts w:hint="eastAsia" w:ascii="仿宋" w:hAnsi="仿宋" w:eastAsia="仿宋" w:cs="仿宋"/>
          <w:color w:val="auto"/>
          <w:sz w:val="24"/>
          <w:szCs w:val="24"/>
          <w:highlight w:val="none"/>
        </w:rPr>
        <w:t>.5 工期延误</w:t>
      </w:r>
    </w:p>
    <w:bookmarkEnd w:id="601"/>
    <w:bookmarkEnd w:id="602"/>
    <w:bookmarkEnd w:id="603"/>
    <w:bookmarkEnd w:id="604"/>
    <w:bookmarkEnd w:id="605"/>
    <w:bookmarkEnd w:id="606"/>
    <w:bookmarkEnd w:id="607"/>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7.5.1 因发包人原因导致工期延误</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（7）因发包人原因导致工期延误的其他情形：</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608" w:name="_Toc318581169"/>
      <w:bookmarkStart w:id="609" w:name="_Toc312677486"/>
      <w:bookmarkStart w:id="610" w:name="_Toc312678012"/>
      <w:bookmarkStart w:id="611" w:name="_Toc300934970"/>
      <w:bookmarkStart w:id="612" w:name="_Toc303539127"/>
      <w:bookmarkStart w:id="613" w:name="_Toc297216177"/>
      <w:bookmarkStart w:id="614" w:name="_Toc297123518"/>
      <w:bookmarkStart w:id="615" w:name="_Toc304295548"/>
      <w:r>
        <w:rPr>
          <w:rFonts w:hint="eastAsia" w:ascii="仿宋" w:hAnsi="仿宋" w:eastAsia="仿宋" w:cs="仿宋"/>
          <w:color w:val="auto"/>
          <w:sz w:val="24"/>
          <w:szCs w:val="24"/>
          <w:highlight w:val="none"/>
        </w:rPr>
        <w:t>.5.2 因承包人原因导致工期延误</w:t>
      </w:r>
    </w:p>
    <w:bookmarkEnd w:id="608"/>
    <w:bookmarkEnd w:id="609"/>
    <w:bookmarkEnd w:id="610"/>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因</w:t>
      </w:r>
      <w:bookmarkStart w:id="616" w:name="_Toc312677487"/>
      <w:bookmarkStart w:id="617" w:name="_Toc312678013"/>
      <w:bookmarkStart w:id="618" w:name="_Toc318581170"/>
      <w:r>
        <w:rPr>
          <w:rFonts w:hint="eastAsia" w:ascii="仿宋" w:hAnsi="仿宋" w:eastAsia="仿宋" w:cs="仿宋"/>
          <w:color w:val="auto"/>
          <w:sz w:val="24"/>
          <w:szCs w:val="24"/>
          <w:highlight w:val="none"/>
        </w:rPr>
        <w:t>承包人原因造成工期延误，逾期竣工违约金的计算方法为：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611"/>
      <w:bookmarkEnd w:id="612"/>
      <w:bookmarkEnd w:id="613"/>
      <w:bookmarkEnd w:id="614"/>
      <w:bookmarkEnd w:id="615"/>
      <w:bookmarkEnd w:id="616"/>
      <w:bookmarkEnd w:id="617"/>
    </w:p>
    <w:bookmarkEnd w:id="618"/>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因承包人原因造成工期延误，逾</w:t>
      </w:r>
      <w:bookmarkStart w:id="619" w:name="_Toc312678014"/>
      <w:bookmarkStart w:id="620" w:name="_Toc318581171"/>
      <w:r>
        <w:rPr>
          <w:rFonts w:hint="eastAsia" w:ascii="仿宋" w:hAnsi="仿宋" w:eastAsia="仿宋" w:cs="仿宋"/>
          <w:color w:val="auto"/>
          <w:sz w:val="24"/>
          <w:szCs w:val="24"/>
          <w:highlight w:val="none"/>
        </w:rPr>
        <w:t>期竣工违约金的上限：</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619"/>
    <w:bookmarkEnd w:id="620"/>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621" w:name="_Toc304295549"/>
      <w:bookmarkStart w:id="622" w:name="_Toc297216178"/>
      <w:bookmarkStart w:id="623" w:name="_Toc312678015"/>
      <w:bookmarkStart w:id="624" w:name="_Toc297123519"/>
      <w:bookmarkStart w:id="625" w:name="_Toc303539128"/>
      <w:bookmarkStart w:id="626" w:name="_Toc300934971"/>
      <w:r>
        <w:rPr>
          <w:rFonts w:hint="eastAsia" w:ascii="仿宋" w:hAnsi="仿宋" w:eastAsia="仿宋" w:cs="仿宋"/>
          <w:color w:val="auto"/>
          <w:sz w:val="24"/>
          <w:szCs w:val="24"/>
          <w:highlight w:val="none"/>
        </w:rPr>
        <w:t>.6 不</w:t>
      </w:r>
      <w:bookmarkEnd w:id="621"/>
      <w:bookmarkEnd w:id="622"/>
      <w:bookmarkEnd w:id="623"/>
      <w:bookmarkEnd w:id="624"/>
      <w:bookmarkEnd w:id="625"/>
      <w:bookmarkEnd w:id="626"/>
      <w:r>
        <w:rPr>
          <w:rFonts w:hint="eastAsia" w:ascii="仿宋" w:hAnsi="仿宋" w:eastAsia="仿宋" w:cs="仿宋"/>
          <w:color w:val="auto"/>
          <w:sz w:val="24"/>
          <w:szCs w:val="24"/>
          <w:highlight w:val="none"/>
        </w:rPr>
        <w:t>利物质条件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bookmarkStart w:id="627" w:name="_Toc303539129"/>
      <w:bookmarkStart w:id="628" w:name="_Toc297216179"/>
      <w:bookmarkStart w:id="629" w:name="_Toc300934972"/>
      <w:bookmarkStart w:id="630" w:name="_Toc312678016"/>
      <w:bookmarkStart w:id="631" w:name="_Toc304295550"/>
      <w:bookmarkStart w:id="632" w:name="_Toc297123520"/>
      <w:bookmarkStart w:id="633" w:name="_Toc318581172"/>
      <w:r>
        <w:rPr>
          <w:rFonts w:hint="eastAsia" w:ascii="仿宋" w:hAnsi="仿宋" w:eastAsia="仿宋" w:cs="仿宋"/>
          <w:color w:val="auto"/>
          <w:sz w:val="24"/>
          <w:szCs w:val="24"/>
          <w:highlight w:val="none"/>
        </w:rPr>
        <w:t>不利物质条件的其他情形和有关约定：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627"/>
    <w:bookmarkEnd w:id="628"/>
    <w:bookmarkEnd w:id="629"/>
    <w:bookmarkEnd w:id="630"/>
    <w:bookmarkEnd w:id="631"/>
    <w:bookmarkEnd w:id="632"/>
    <w:bookmarkEnd w:id="633"/>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bookmarkStart w:id="634" w:name="_Toc304295551"/>
      <w:bookmarkStart w:id="635" w:name="_Toc303539130"/>
      <w:bookmarkStart w:id="636" w:name="_Toc312678017"/>
      <w:bookmarkStart w:id="637" w:name="_Toc297216180"/>
      <w:bookmarkStart w:id="638" w:name="_Toc300934973"/>
      <w:bookmarkStart w:id="639" w:name="_Toc297123521"/>
      <w:r>
        <w:rPr>
          <w:rFonts w:hint="eastAsia" w:ascii="仿宋" w:hAnsi="仿宋" w:eastAsia="仿宋" w:cs="仿宋"/>
          <w:color w:val="auto"/>
          <w:sz w:val="24"/>
          <w:szCs w:val="24"/>
          <w:highlight w:val="none"/>
        </w:rPr>
        <w:t>.7异常恶劣的气候条件</w:t>
      </w:r>
    </w:p>
    <w:bookmarkEnd w:id="634"/>
    <w:bookmarkEnd w:id="635"/>
    <w:bookmarkEnd w:id="636"/>
    <w:bookmarkEnd w:id="637"/>
    <w:bookmarkEnd w:id="638"/>
    <w:bookmarkEnd w:id="63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发包人和承包人同意以下情形视为异常恶劣的气候条件：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 提前竣工的奖励</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7.9.2提前竣工的奖励：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640" w:name="_Toc351203640"/>
      <w:r>
        <w:rPr>
          <w:rFonts w:hint="eastAsia" w:ascii="仿宋" w:hAnsi="仿宋" w:eastAsia="仿宋" w:cs="仿宋"/>
          <w:bCs/>
          <w:color w:val="auto"/>
          <w:sz w:val="24"/>
          <w:szCs w:val="24"/>
          <w:highlight w:val="none"/>
        </w:rPr>
        <w:t>8. 材料与设备</w:t>
      </w:r>
      <w:bookmarkEnd w:id="640"/>
    </w:p>
    <w:bookmarkEnd w:id="575"/>
    <w:bookmarkEnd w:id="576"/>
    <w:bookmarkEnd w:id="577"/>
    <w:bookmarkEnd w:id="578"/>
    <w:bookmarkEnd w:id="579"/>
    <w:bookmarkEnd w:id="580"/>
    <w:bookmarkEnd w:id="581"/>
    <w:bookmarkEnd w:id="582"/>
    <w:bookmarkEnd w:id="583"/>
    <w:bookmarkEnd w:id="584"/>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bookmarkStart w:id="641" w:name="_Toc297048353"/>
      <w:bookmarkStart w:id="642" w:name="_Toc280868654"/>
      <w:bookmarkStart w:id="643" w:name="_Toc296891207"/>
      <w:bookmarkStart w:id="644" w:name="_Toc297216186"/>
      <w:bookmarkStart w:id="645" w:name="_Toc296347166"/>
      <w:bookmarkStart w:id="646" w:name="_Toc296503167"/>
      <w:bookmarkStart w:id="647" w:name="_Toc296944506"/>
      <w:bookmarkStart w:id="648" w:name="_Toc312678019"/>
      <w:bookmarkStart w:id="649" w:name="_Toc312677493"/>
      <w:bookmarkStart w:id="650" w:name="_Toc300934979"/>
      <w:bookmarkStart w:id="651" w:name="_Toc297120467"/>
      <w:bookmarkStart w:id="652" w:name="_Toc304295556"/>
      <w:bookmarkStart w:id="653" w:name="_Toc292559372"/>
      <w:bookmarkStart w:id="654" w:name="_Toc296890995"/>
      <w:bookmarkStart w:id="655" w:name="_Toc296346668"/>
      <w:bookmarkStart w:id="656" w:name="_Toc303539136"/>
      <w:bookmarkStart w:id="657" w:name="_Toc292559877"/>
      <w:bookmarkStart w:id="658" w:name="_Toc297123527"/>
      <w:bookmarkStart w:id="659" w:name="_Toc280868655"/>
      <w:bookmarkStart w:id="660" w:name="_Toc267251424"/>
      <w:bookmarkStart w:id="661" w:name="_Toc280868656"/>
      <w:r>
        <w:rPr>
          <w:rFonts w:hint="eastAsia" w:ascii="仿宋" w:hAnsi="仿宋" w:eastAsia="仿宋" w:cs="仿宋"/>
          <w:color w:val="auto"/>
          <w:sz w:val="24"/>
          <w:szCs w:val="24"/>
          <w:highlight w:val="none"/>
        </w:rPr>
        <w:t>.4材料与工程设备的保管与使用</w:t>
      </w:r>
    </w:p>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8</w:t>
      </w:r>
      <w:bookmarkStart w:id="662" w:name="_Toc292559878"/>
      <w:bookmarkStart w:id="663" w:name="_Toc292559373"/>
      <w:bookmarkStart w:id="664" w:name="_Toc303539137"/>
      <w:bookmarkStart w:id="665" w:name="_Toc318581173"/>
      <w:bookmarkStart w:id="666" w:name="_Toc304295557"/>
      <w:bookmarkStart w:id="667" w:name="_Toc300934980"/>
      <w:bookmarkStart w:id="668" w:name="_Toc312678020"/>
      <w:bookmarkStart w:id="669" w:name="_Toc297123528"/>
      <w:bookmarkStart w:id="670" w:name="_Toc296890996"/>
      <w:bookmarkStart w:id="671" w:name="_Toc296891208"/>
      <w:bookmarkStart w:id="672" w:name="_Toc297120468"/>
      <w:bookmarkStart w:id="673" w:name="_Toc296503168"/>
      <w:bookmarkStart w:id="674" w:name="_Toc296944507"/>
      <w:bookmarkStart w:id="675" w:name="_Toc296346669"/>
      <w:bookmarkStart w:id="676" w:name="_Toc297216187"/>
      <w:bookmarkStart w:id="677" w:name="_Toc296347167"/>
      <w:bookmarkStart w:id="678" w:name="_Toc312677494"/>
      <w:bookmarkStart w:id="679" w:name="_Toc297048354"/>
      <w:r>
        <w:rPr>
          <w:rFonts w:hint="eastAsia" w:ascii="仿宋" w:hAnsi="仿宋" w:eastAsia="仿宋" w:cs="仿宋"/>
          <w:color w:val="auto"/>
          <w:sz w:val="24"/>
          <w:szCs w:val="24"/>
          <w:highlight w:val="none"/>
        </w:rPr>
        <w:t>.4.1发包人供应的材料设备的保管费用的承担：</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bookmarkEnd w:id="662"/>
      <w:bookmarkEnd w:id="663"/>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 样品</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样品的报送与封存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需要承包人报送样品的材料或工程设备，样品的种类、名称、规格、数量要求：</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 施工设备和临时设施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8.8.1 承包人提供的施工设备和临时设施</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关于修建临时设施费用承担的约定：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680" w:name="_Toc351203641"/>
      <w:r>
        <w:rPr>
          <w:rFonts w:hint="eastAsia" w:ascii="仿宋" w:hAnsi="仿宋" w:eastAsia="仿宋" w:cs="仿宋"/>
          <w:bCs/>
          <w:color w:val="auto"/>
          <w:sz w:val="24"/>
          <w:szCs w:val="24"/>
          <w:highlight w:val="none"/>
        </w:rPr>
        <w:t>9</w:t>
      </w:r>
      <w:bookmarkEnd w:id="659"/>
      <w:bookmarkEnd w:id="660"/>
      <w:bookmarkEnd w:id="661"/>
      <w:bookmarkStart w:id="681" w:name="_Toc312677495"/>
      <w:bookmarkStart w:id="682" w:name="_Toc297216192"/>
      <w:bookmarkStart w:id="683" w:name="_Toc297123533"/>
      <w:bookmarkStart w:id="684" w:name="_Toc303539139"/>
      <w:bookmarkStart w:id="685" w:name="_Toc312678021"/>
      <w:bookmarkStart w:id="686" w:name="_Toc304295559"/>
      <w:bookmarkStart w:id="687" w:name="_Toc300934982"/>
      <w:bookmarkStart w:id="688" w:name="_Toc296346674"/>
      <w:bookmarkStart w:id="689" w:name="_Toc297120473"/>
      <w:bookmarkStart w:id="690" w:name="_Toc296503173"/>
      <w:bookmarkStart w:id="691" w:name="_Toc296347172"/>
      <w:bookmarkStart w:id="692" w:name="_Toc297048359"/>
      <w:bookmarkStart w:id="693" w:name="_Toc267251428"/>
      <w:bookmarkStart w:id="694" w:name="_Toc292559883"/>
      <w:bookmarkStart w:id="695" w:name="_Toc292559378"/>
      <w:bookmarkStart w:id="696" w:name="_Toc296944512"/>
      <w:bookmarkStart w:id="697" w:name="_Toc296891001"/>
      <w:bookmarkStart w:id="698" w:name="_Toc267251427"/>
      <w:bookmarkStart w:id="699" w:name="_Toc296891213"/>
      <w:r>
        <w:rPr>
          <w:rFonts w:hint="eastAsia" w:ascii="仿宋" w:hAnsi="仿宋" w:eastAsia="仿宋" w:cs="仿宋"/>
          <w:bCs/>
          <w:color w:val="auto"/>
          <w:sz w:val="24"/>
          <w:szCs w:val="24"/>
          <w:highlight w:val="none"/>
        </w:rPr>
        <w:t>. 试验与检验</w:t>
      </w:r>
      <w:bookmarkEnd w:id="680"/>
    </w:p>
    <w:bookmarkEnd w:id="681"/>
    <w:bookmarkEnd w:id="682"/>
    <w:bookmarkEnd w:id="683"/>
    <w:bookmarkEnd w:id="684"/>
    <w:bookmarkEnd w:id="685"/>
    <w:bookmarkEnd w:id="686"/>
    <w:bookmarkEnd w:id="687"/>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700" w:name="_Toc312678022"/>
      <w:bookmarkStart w:id="701" w:name="_Toc297216193"/>
      <w:bookmarkStart w:id="702" w:name="_Toc300934983"/>
      <w:bookmarkStart w:id="703" w:name="_Toc297123534"/>
      <w:bookmarkStart w:id="704" w:name="_Toc304295560"/>
      <w:bookmarkStart w:id="705" w:name="_Toc303539140"/>
      <w:bookmarkStart w:id="706" w:name="_Toc312677496"/>
      <w:r>
        <w:rPr>
          <w:rFonts w:hint="eastAsia" w:ascii="仿宋" w:hAnsi="仿宋" w:eastAsia="仿宋" w:cs="仿宋"/>
          <w:color w:val="auto"/>
          <w:sz w:val="24"/>
          <w:szCs w:val="24"/>
          <w:highlight w:val="none"/>
        </w:rPr>
        <w:t>.1试验设备与试验人员</w:t>
      </w:r>
    </w:p>
    <w:bookmarkEnd w:id="700"/>
    <w:bookmarkEnd w:id="701"/>
    <w:bookmarkEnd w:id="702"/>
    <w:bookmarkEnd w:id="703"/>
    <w:bookmarkEnd w:id="704"/>
    <w:bookmarkEnd w:id="705"/>
    <w:bookmarkEnd w:id="706"/>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bookmarkStart w:id="707" w:name="_Toc303539141"/>
      <w:bookmarkStart w:id="708" w:name="_Toc300934984"/>
      <w:bookmarkStart w:id="709" w:name="_Toc304295561"/>
      <w:bookmarkStart w:id="710" w:name="_Toc297123535"/>
      <w:bookmarkStart w:id="711" w:name="_Toc312678023"/>
      <w:bookmarkStart w:id="712" w:name="_Toc297216194"/>
      <w:bookmarkStart w:id="713" w:name="_Toc312677497"/>
      <w:bookmarkStart w:id="714" w:name="_Toc318581174"/>
      <w:r>
        <w:rPr>
          <w:rFonts w:hint="eastAsia" w:ascii="仿宋" w:hAnsi="仿宋" w:eastAsia="仿宋" w:cs="仿宋"/>
          <w:color w:val="auto"/>
          <w:sz w:val="24"/>
          <w:szCs w:val="24"/>
          <w:highlight w:val="none"/>
        </w:rPr>
        <w:t>.1.2 试验设备</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施工现场需要配置的试验场所：</w:t>
      </w:r>
      <w:bookmarkEnd w:id="707"/>
      <w:bookmarkEnd w:id="708"/>
      <w:bookmarkEnd w:id="709"/>
      <w:bookmarkEnd w:id="710"/>
      <w:bookmarkEnd w:id="711"/>
      <w:bookmarkEnd w:id="712"/>
      <w:bookmarkEnd w:id="713"/>
      <w:bookmarkStart w:id="715" w:name="_Toc304295562"/>
      <w:bookmarkStart w:id="716" w:name="_Toc312678024"/>
      <w:bookmarkStart w:id="717" w:name="_Toc300934985"/>
      <w:bookmarkStart w:id="718" w:name="_Toc297216195"/>
      <w:bookmarkStart w:id="719" w:name="_Toc312677498"/>
      <w:bookmarkStart w:id="720" w:name="_Toc297123536"/>
      <w:bookmarkStart w:id="721" w:name="_Toc303539142"/>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施工现场需要配备的试验设备：</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施工现场需要具备的其他试验条件：</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9.4 现场工艺试验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现场工艺试验的有关约定：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714"/>
    <w:bookmarkEnd w:id="715"/>
    <w:bookmarkEnd w:id="716"/>
    <w:bookmarkEnd w:id="717"/>
    <w:bookmarkEnd w:id="718"/>
    <w:bookmarkEnd w:id="719"/>
    <w:bookmarkEnd w:id="720"/>
    <w:bookmarkEnd w:id="721"/>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722" w:name="_Toc351203642"/>
      <w:r>
        <w:rPr>
          <w:rFonts w:hint="eastAsia" w:ascii="仿宋" w:hAnsi="仿宋" w:eastAsia="仿宋" w:cs="仿宋"/>
          <w:bCs/>
          <w:color w:val="auto"/>
          <w:sz w:val="24"/>
          <w:szCs w:val="24"/>
          <w:highlight w:val="none"/>
        </w:rPr>
        <w:t>1</w:t>
      </w:r>
      <w:bookmarkEnd w:id="688"/>
      <w:bookmarkEnd w:id="689"/>
      <w:bookmarkEnd w:id="690"/>
      <w:bookmarkEnd w:id="691"/>
      <w:bookmarkEnd w:id="692"/>
      <w:bookmarkEnd w:id="693"/>
      <w:bookmarkEnd w:id="694"/>
      <w:bookmarkEnd w:id="695"/>
      <w:bookmarkEnd w:id="696"/>
      <w:bookmarkEnd w:id="697"/>
      <w:bookmarkEnd w:id="698"/>
      <w:bookmarkEnd w:id="699"/>
      <w:bookmarkStart w:id="723" w:name="_Toc297123540"/>
      <w:bookmarkStart w:id="724" w:name="_Toc296503193"/>
      <w:bookmarkStart w:id="725" w:name="_Toc297216199"/>
      <w:bookmarkStart w:id="726" w:name="_Toc296346694"/>
      <w:bookmarkStart w:id="727" w:name="_Toc296944532"/>
      <w:bookmarkStart w:id="728" w:name="_Toc297120493"/>
      <w:bookmarkStart w:id="729" w:name="_Toc292559903"/>
      <w:bookmarkStart w:id="730" w:name="_Toc304295566"/>
      <w:bookmarkStart w:id="731" w:name="_Toc303539146"/>
      <w:bookmarkStart w:id="732" w:name="_Toc296347192"/>
      <w:bookmarkStart w:id="733" w:name="_Toc297048379"/>
      <w:bookmarkStart w:id="734" w:name="_Toc292559398"/>
      <w:bookmarkStart w:id="735" w:name="_Toc296891233"/>
      <w:bookmarkStart w:id="736" w:name="_Toc296891021"/>
      <w:bookmarkStart w:id="737" w:name="_Toc300934989"/>
      <w:bookmarkStart w:id="738" w:name="_Toc312677499"/>
      <w:bookmarkStart w:id="739" w:name="_Toc312678025"/>
      <w:bookmarkStart w:id="740" w:name="_Toc267251440"/>
      <w:bookmarkStart w:id="741" w:name="_Toc267251435"/>
      <w:bookmarkStart w:id="742" w:name="_Toc267251441"/>
      <w:bookmarkStart w:id="743" w:name="_Toc267251433"/>
      <w:bookmarkStart w:id="744" w:name="_Toc267251437"/>
      <w:bookmarkStart w:id="745" w:name="_Toc267251439"/>
      <w:bookmarkStart w:id="746" w:name="_Toc267251442"/>
      <w:r>
        <w:rPr>
          <w:rFonts w:hint="eastAsia" w:ascii="仿宋" w:hAnsi="仿宋" w:eastAsia="仿宋" w:cs="仿宋"/>
          <w:bCs/>
          <w:color w:val="auto"/>
          <w:sz w:val="24"/>
          <w:szCs w:val="24"/>
          <w:highlight w:val="none"/>
        </w:rPr>
        <w:t>0. 变更</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bookmarkEnd w:id="738"/>
    <w:bookmarkEnd w:id="73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747" w:name="_Toc296944533"/>
      <w:bookmarkStart w:id="748" w:name="_Toc303539147"/>
      <w:bookmarkStart w:id="749" w:name="_Toc296346695"/>
      <w:bookmarkStart w:id="750" w:name="_Toc296347193"/>
      <w:bookmarkStart w:id="751" w:name="_Toc297048380"/>
      <w:bookmarkStart w:id="752" w:name="_Toc300934990"/>
      <w:bookmarkStart w:id="753" w:name="_Toc297216200"/>
      <w:bookmarkStart w:id="754" w:name="_Toc297123541"/>
      <w:bookmarkStart w:id="755" w:name="_Toc296891022"/>
      <w:bookmarkStart w:id="756" w:name="_Toc312678026"/>
      <w:bookmarkStart w:id="757" w:name="_Toc312677500"/>
      <w:bookmarkStart w:id="758" w:name="_Toc296503194"/>
      <w:bookmarkStart w:id="759" w:name="_Toc292559399"/>
      <w:bookmarkStart w:id="760" w:name="_Toc297120494"/>
      <w:bookmarkStart w:id="761" w:name="_Toc296891234"/>
      <w:bookmarkStart w:id="762" w:name="_Toc292559904"/>
      <w:bookmarkStart w:id="763" w:name="_Toc304295567"/>
      <w:r>
        <w:rPr>
          <w:rFonts w:hint="eastAsia" w:ascii="仿宋" w:hAnsi="仿宋" w:eastAsia="仿宋" w:cs="仿宋"/>
          <w:color w:val="auto"/>
          <w:sz w:val="24"/>
          <w:szCs w:val="24"/>
          <w:highlight w:val="none"/>
        </w:rPr>
        <w:t>0.1变更的范围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关于变更的范围的约定：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 变更估价</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10.4.1 变更估价原则</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关于变更估价的约定: </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Start w:id="764" w:name="_Toc297123544"/>
      <w:bookmarkStart w:id="765" w:name="_Toc296891237"/>
      <w:bookmarkStart w:id="766" w:name="_Toc297048383"/>
      <w:bookmarkStart w:id="767" w:name="_Toc297120497"/>
      <w:bookmarkStart w:id="768" w:name="_Toc296944536"/>
      <w:bookmarkStart w:id="769" w:name="_Toc296347196"/>
      <w:bookmarkStart w:id="770" w:name="_Toc296346698"/>
      <w:bookmarkStart w:id="771" w:name="_Toc296891025"/>
      <w:bookmarkStart w:id="772" w:name="_Toc300934993"/>
      <w:bookmarkStart w:id="773" w:name="_Toc297216203"/>
      <w:bookmarkStart w:id="774" w:name="_Toc292559402"/>
      <w:bookmarkStart w:id="775" w:name="_Toc296503197"/>
      <w:bookmarkStart w:id="776" w:name="_Toc303539150"/>
      <w:bookmarkStart w:id="777" w:name="_Toc292559907"/>
      <w:bookmarkStart w:id="778" w:name="_Toc304295570"/>
      <w:bookmarkStart w:id="779" w:name="_Toc312677503"/>
      <w:bookmarkStart w:id="780" w:name="_Toc312678029"/>
      <w:r>
        <w:rPr>
          <w:rFonts w:hint="eastAsia" w:ascii="仿宋" w:hAnsi="仿宋" w:eastAsia="仿宋" w:cs="仿宋"/>
          <w:color w:val="auto"/>
          <w:sz w:val="24"/>
          <w:szCs w:val="24"/>
          <w:highlight w:val="none"/>
        </w:rPr>
        <w:t>0.5承</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Start w:id="781" w:name="_Toc292559913"/>
      <w:bookmarkStart w:id="782" w:name="_Toc296944542"/>
      <w:bookmarkStart w:id="783" w:name="_Toc296346704"/>
      <w:bookmarkStart w:id="784" w:name="_Toc303539151"/>
      <w:bookmarkStart w:id="785" w:name="_Toc297216204"/>
      <w:bookmarkStart w:id="786" w:name="_Toc292559408"/>
      <w:bookmarkStart w:id="787" w:name="_Toc300934994"/>
      <w:bookmarkStart w:id="788" w:name="_Toc296891031"/>
      <w:bookmarkStart w:id="789" w:name="_Toc297120503"/>
      <w:bookmarkStart w:id="790" w:name="_Toc296503203"/>
      <w:bookmarkStart w:id="791" w:name="_Toc297123545"/>
      <w:bookmarkStart w:id="792" w:name="_Toc297048389"/>
      <w:bookmarkStart w:id="793" w:name="_Toc296347202"/>
      <w:bookmarkStart w:id="794" w:name="_Toc296891243"/>
      <w:r>
        <w:rPr>
          <w:rFonts w:hint="eastAsia" w:ascii="仿宋" w:hAnsi="仿宋" w:eastAsia="仿宋" w:cs="仿宋"/>
          <w:color w:val="auto"/>
          <w:sz w:val="24"/>
          <w:szCs w:val="24"/>
          <w:highlight w:val="none"/>
        </w:rPr>
        <w:t>包人的合理化建议</w:t>
      </w:r>
    </w:p>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监理人审查承包人合理化建议的期限：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发包人审批承包人合理化建议的期限：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w:t>
      </w:r>
      <w:bookmarkStart w:id="795" w:name="_Toc303539152"/>
      <w:bookmarkStart w:id="796" w:name="_Toc318581175"/>
      <w:bookmarkStart w:id="797" w:name="_Toc292559914"/>
      <w:bookmarkStart w:id="798" w:name="_Toc296347203"/>
      <w:bookmarkStart w:id="799" w:name="_Toc297123546"/>
      <w:bookmarkStart w:id="800" w:name="_Toc304295571"/>
      <w:bookmarkStart w:id="801" w:name="_Toc296944543"/>
      <w:bookmarkStart w:id="802" w:name="_Toc297216205"/>
      <w:bookmarkStart w:id="803" w:name="_Toc296891032"/>
      <w:bookmarkStart w:id="804" w:name="_Toc297120504"/>
      <w:bookmarkStart w:id="805" w:name="_Toc296346705"/>
      <w:bookmarkStart w:id="806" w:name="_Toc312678030"/>
      <w:bookmarkStart w:id="807" w:name="_Toc292559409"/>
      <w:bookmarkStart w:id="808" w:name="_Toc300934995"/>
      <w:bookmarkStart w:id="809" w:name="_Toc296891244"/>
      <w:bookmarkStart w:id="810" w:name="_Toc296503204"/>
      <w:bookmarkStart w:id="811" w:name="_Toc312677504"/>
      <w:bookmarkStart w:id="812" w:name="_Toc297048390"/>
      <w:r>
        <w:rPr>
          <w:rFonts w:hint="eastAsia" w:ascii="仿宋" w:hAnsi="仿宋" w:eastAsia="仿宋" w:cs="仿宋"/>
          <w:color w:val="auto"/>
          <w:sz w:val="24"/>
          <w:szCs w:val="24"/>
          <w:highlight w:val="none"/>
        </w:rPr>
        <w:t>包人提出的合理化建议降低了合同价格或者提高了工程经济效益的奖励的方法和金额为：</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813" w:name="_Toc312678033"/>
      <w:bookmarkStart w:id="814" w:name="_Toc296944538"/>
      <w:bookmarkStart w:id="815" w:name="_Toc300934997"/>
      <w:bookmarkStart w:id="816" w:name="_Toc296347198"/>
      <w:bookmarkStart w:id="817" w:name="_Toc297120499"/>
      <w:bookmarkStart w:id="818" w:name="_Toc297216207"/>
      <w:bookmarkStart w:id="819" w:name="_Toc296891239"/>
      <w:bookmarkStart w:id="820" w:name="_Toc296503199"/>
      <w:bookmarkStart w:id="821" w:name="_Toc303539154"/>
      <w:bookmarkStart w:id="822" w:name="_Toc304295574"/>
      <w:bookmarkStart w:id="823" w:name="_Toc312677507"/>
      <w:bookmarkStart w:id="824" w:name="_Toc292559909"/>
      <w:bookmarkStart w:id="825" w:name="_Toc296346700"/>
      <w:bookmarkStart w:id="826" w:name="_Toc296891027"/>
      <w:bookmarkStart w:id="827" w:name="_Toc297048385"/>
      <w:bookmarkStart w:id="828" w:name="_Toc292559404"/>
      <w:bookmarkStart w:id="829" w:name="_Toc297123548"/>
      <w:r>
        <w:rPr>
          <w:rFonts w:hint="eastAsia" w:ascii="仿宋" w:hAnsi="仿宋" w:eastAsia="仿宋" w:cs="仿宋"/>
          <w:color w:val="auto"/>
          <w:sz w:val="24"/>
          <w:szCs w:val="24"/>
          <w:highlight w:val="none"/>
        </w:rPr>
        <w:t>0.7 暂估价</w:t>
      </w:r>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暂</w:t>
      </w:r>
      <w:bookmarkStart w:id="830" w:name="_Toc318581176"/>
      <w:bookmarkStart w:id="831" w:name="_Toc312678034"/>
      <w:bookmarkStart w:id="832" w:name="_Toc312677508"/>
      <w:r>
        <w:rPr>
          <w:rFonts w:hint="eastAsia" w:ascii="仿宋" w:hAnsi="仿宋" w:eastAsia="仿宋" w:cs="仿宋"/>
          <w:color w:val="auto"/>
          <w:sz w:val="24"/>
          <w:szCs w:val="24"/>
          <w:highlight w:val="none"/>
        </w:rPr>
        <w:t>估价材料和工程设备的明细详见附件11：《暂估价一览表》。</w:t>
      </w:r>
    </w:p>
    <w:bookmarkEnd w:id="830"/>
    <w:bookmarkEnd w:id="831"/>
    <w:bookmarkEnd w:id="83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Start w:id="833" w:name="_Toc312677509"/>
      <w:bookmarkStart w:id="834" w:name="_Toc312678035"/>
      <w:bookmarkStart w:id="835" w:name="_Toc318581177"/>
      <w:r>
        <w:rPr>
          <w:rFonts w:hint="eastAsia" w:ascii="仿宋" w:hAnsi="仿宋" w:eastAsia="仿宋" w:cs="仿宋"/>
          <w:color w:val="auto"/>
          <w:sz w:val="24"/>
          <w:szCs w:val="24"/>
          <w:highlight w:val="none"/>
        </w:rPr>
        <w:t>0.7.1 依法必须招标的暂估价项目</w:t>
      </w:r>
    </w:p>
    <w:bookmarkEnd w:id="833"/>
    <w:bookmarkEnd w:id="834"/>
    <w:bookmarkEnd w:id="835"/>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对于依法必须招标的暂估价项目的确认和批准采取第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种方式确定。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10.7.2 不属于依法必须招标的暂估价项目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对于不属于依法必须招标的暂估价项目的确认和批准采取第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种方式确定。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第3种方式：承包人直接实施的暂估价项目</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承包人直接实施的暂估价项目的约定：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10.8 暂列金额</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合同当事人关于暂列金额使用的约定：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836" w:name="_Toc351203643"/>
      <w:r>
        <w:rPr>
          <w:rFonts w:hint="eastAsia" w:ascii="仿宋" w:hAnsi="仿宋" w:eastAsia="仿宋" w:cs="仿宋"/>
          <w:bCs/>
          <w:color w:val="auto"/>
          <w:sz w:val="24"/>
          <w:szCs w:val="24"/>
          <w:highlight w:val="none"/>
        </w:rPr>
        <w:t>11. 价格调整</w:t>
      </w:r>
      <w:bookmarkEnd w:id="836"/>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bookmarkStart w:id="837" w:name="_Toc297048387"/>
      <w:bookmarkStart w:id="838" w:name="_Toc296347200"/>
      <w:bookmarkStart w:id="839" w:name="_Toc296891029"/>
      <w:bookmarkStart w:id="840" w:name="_Toc296891241"/>
      <w:bookmarkStart w:id="841" w:name="_Toc296346702"/>
      <w:bookmarkStart w:id="842" w:name="_Toc303539157"/>
      <w:bookmarkStart w:id="843" w:name="_Toc297120501"/>
      <w:bookmarkStart w:id="844" w:name="_Toc296503201"/>
      <w:bookmarkStart w:id="845" w:name="_Toc312678039"/>
      <w:bookmarkStart w:id="846" w:name="_Toc297123550"/>
      <w:bookmarkStart w:id="847" w:name="_Toc292559911"/>
      <w:bookmarkStart w:id="848" w:name="_Toc292559406"/>
      <w:bookmarkStart w:id="849" w:name="_Toc300935000"/>
      <w:bookmarkStart w:id="850" w:name="_Toc304295577"/>
      <w:bookmarkStart w:id="851" w:name="_Toc297216209"/>
      <w:bookmarkStart w:id="852" w:name="_Toc296944540"/>
      <w:r>
        <w:rPr>
          <w:rFonts w:hint="eastAsia" w:ascii="仿宋" w:hAnsi="仿宋" w:eastAsia="仿宋" w:cs="仿宋"/>
          <w:color w:val="auto"/>
          <w:sz w:val="24"/>
          <w:szCs w:val="24"/>
          <w:highlight w:val="none"/>
        </w:rPr>
        <w:t>11.1 市场价格波动引起的调整</w:t>
      </w:r>
    </w:p>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市场价格波动是否调整合同价格的约定：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因市场价格波动调整合同价格，采用以下第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种方式对合同价格进行调整：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第1种方式：采用价格指数进行价格调整。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关于各可调因子、定值和变值权重，以及基本价格指数及其来源的约定：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第2种方式：采用造价信息进行价格调整。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（2）关于基准价格的约定：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%时，或材料单价跌幅以已标价工程量清单或预算书中载明材料单价为基础超过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%时，材料单价涨幅以已标价工程量清单或预算书中载明材料单价为基础超过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%时，其超过部分据实调整。</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第3种方式：其他价格调整方式：</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740"/>
    <w:bookmarkEnd w:id="741"/>
    <w:bookmarkEnd w:id="742"/>
    <w:bookmarkEnd w:id="743"/>
    <w:bookmarkEnd w:id="744"/>
    <w:bookmarkEnd w:id="745"/>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853" w:name="_Toc296891033"/>
      <w:bookmarkStart w:id="854" w:name="_Toc292559915"/>
      <w:bookmarkStart w:id="855" w:name="_Toc297048391"/>
      <w:bookmarkStart w:id="856" w:name="_Toc296891245"/>
      <w:bookmarkStart w:id="857" w:name="_Toc292559410"/>
      <w:bookmarkStart w:id="858" w:name="_Toc296503205"/>
      <w:bookmarkStart w:id="859" w:name="_Toc296944544"/>
      <w:bookmarkStart w:id="860" w:name="_Toc296347204"/>
      <w:bookmarkStart w:id="861" w:name="_Toc296346706"/>
      <w:bookmarkStart w:id="862" w:name="_Toc297120505"/>
      <w:bookmarkStart w:id="863" w:name="_Toc351203644"/>
      <w:bookmarkStart w:id="864" w:name="_Toc304295579"/>
      <w:bookmarkStart w:id="865" w:name="_Toc297123552"/>
      <w:bookmarkStart w:id="866" w:name="_Toc297216211"/>
      <w:bookmarkStart w:id="867" w:name="_Toc312678040"/>
      <w:bookmarkStart w:id="868" w:name="_Toc303539159"/>
      <w:bookmarkStart w:id="869" w:name="_Toc300935002"/>
      <w:r>
        <w:rPr>
          <w:rFonts w:hint="eastAsia" w:ascii="仿宋" w:hAnsi="仿宋" w:eastAsia="仿宋" w:cs="仿宋"/>
          <w:bCs/>
          <w:color w:val="auto"/>
          <w:sz w:val="24"/>
          <w:szCs w:val="24"/>
          <w:highlight w:val="none"/>
        </w:rPr>
        <w:t xml:space="preserve">12. </w:t>
      </w:r>
      <w:bookmarkEnd w:id="853"/>
      <w:bookmarkEnd w:id="854"/>
      <w:bookmarkEnd w:id="855"/>
      <w:bookmarkEnd w:id="856"/>
      <w:bookmarkEnd w:id="857"/>
      <w:bookmarkEnd w:id="858"/>
      <w:bookmarkEnd w:id="859"/>
      <w:bookmarkEnd w:id="860"/>
      <w:bookmarkEnd w:id="861"/>
      <w:bookmarkEnd w:id="862"/>
      <w:r>
        <w:rPr>
          <w:rFonts w:hint="eastAsia" w:ascii="仿宋" w:hAnsi="仿宋" w:eastAsia="仿宋" w:cs="仿宋"/>
          <w:bCs/>
          <w:color w:val="auto"/>
          <w:sz w:val="24"/>
          <w:szCs w:val="24"/>
          <w:highlight w:val="none"/>
        </w:rPr>
        <w:t>合同价格、计量与支付</w:t>
      </w:r>
      <w:bookmarkEnd w:id="863"/>
    </w:p>
    <w:bookmarkEnd w:id="864"/>
    <w:bookmarkEnd w:id="865"/>
    <w:bookmarkEnd w:id="866"/>
    <w:bookmarkEnd w:id="867"/>
    <w:bookmarkEnd w:id="868"/>
    <w:bookmarkEnd w:id="86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bookmarkStart w:id="870" w:name="_Toc292559411"/>
      <w:bookmarkStart w:id="871" w:name="_Toc267251461"/>
      <w:bookmarkStart w:id="872" w:name="_Toc292559916"/>
      <w:bookmarkStart w:id="873" w:name="_Toc296503206"/>
      <w:bookmarkStart w:id="874" w:name="_Toc296347205"/>
      <w:bookmarkStart w:id="875" w:name="_Toc296346707"/>
      <w:bookmarkStart w:id="876" w:name="_Toc297048392"/>
      <w:bookmarkStart w:id="877" w:name="_Toc296891246"/>
      <w:bookmarkStart w:id="878" w:name="_Toc297120506"/>
      <w:bookmarkStart w:id="879" w:name="_Toc296891034"/>
      <w:bookmarkStart w:id="880" w:name="_Toc296944545"/>
      <w:bookmarkStart w:id="881" w:name="_Toc297123553"/>
      <w:bookmarkStart w:id="882" w:name="_Toc303539160"/>
      <w:bookmarkStart w:id="883" w:name="_Toc297216212"/>
      <w:bookmarkStart w:id="884" w:name="_Toc312678041"/>
      <w:bookmarkStart w:id="885" w:name="_Toc304295580"/>
      <w:bookmarkStart w:id="886" w:name="_Toc300935003"/>
      <w:r>
        <w:rPr>
          <w:rFonts w:hint="eastAsia" w:ascii="仿宋" w:hAnsi="仿宋" w:eastAsia="仿宋" w:cs="仿宋"/>
          <w:color w:val="auto"/>
          <w:sz w:val="24"/>
          <w:szCs w:val="24"/>
          <w:highlight w:val="none"/>
        </w:rPr>
        <w:t>12.1 合</w:t>
      </w:r>
      <w:bookmarkEnd w:id="870"/>
      <w:bookmarkEnd w:id="871"/>
      <w:bookmarkEnd w:id="872"/>
      <w:r>
        <w:rPr>
          <w:rFonts w:hint="eastAsia" w:ascii="仿宋" w:hAnsi="仿宋" w:eastAsia="仿宋" w:cs="仿宋"/>
          <w:color w:val="auto"/>
          <w:sz w:val="24"/>
          <w:szCs w:val="24"/>
          <w:highlight w:val="none"/>
        </w:rPr>
        <w:t>同价</w:t>
      </w:r>
      <w:bookmarkEnd w:id="873"/>
      <w:bookmarkEnd w:id="874"/>
      <w:bookmarkEnd w:id="875"/>
      <w:bookmarkEnd w:id="876"/>
      <w:bookmarkEnd w:id="877"/>
      <w:bookmarkEnd w:id="878"/>
      <w:bookmarkEnd w:id="879"/>
      <w:bookmarkEnd w:id="880"/>
      <w:r>
        <w:rPr>
          <w:rFonts w:hint="eastAsia" w:ascii="仿宋" w:hAnsi="仿宋" w:eastAsia="仿宋" w:cs="仿宋"/>
          <w:color w:val="auto"/>
          <w:sz w:val="24"/>
          <w:szCs w:val="24"/>
          <w:highlight w:val="none"/>
        </w:rPr>
        <w:t>格形式</w:t>
      </w:r>
    </w:p>
    <w:bookmarkEnd w:id="881"/>
    <w:bookmarkEnd w:id="882"/>
    <w:bookmarkEnd w:id="883"/>
    <w:bookmarkEnd w:id="884"/>
    <w:bookmarkEnd w:id="885"/>
    <w:bookmarkEnd w:id="886"/>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综合单价包含的风险范围：</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总价包含的风险范围：</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风险费用的计算方法：</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风险范围以外合同价格的调整方法：</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3、其他价格方式：</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bookmarkStart w:id="887" w:name="_Toc304295581"/>
      <w:bookmarkStart w:id="888" w:name="_Toc312678042"/>
      <w:bookmarkStart w:id="889" w:name="_Toc297216213"/>
      <w:bookmarkStart w:id="890" w:name="_Toc303539161"/>
      <w:bookmarkStart w:id="891" w:name="_Toc297123554"/>
      <w:bookmarkStart w:id="892" w:name="_Toc300935004"/>
      <w:bookmarkStart w:id="893" w:name="_Toc296347206"/>
      <w:bookmarkStart w:id="894" w:name="_Toc296891035"/>
      <w:bookmarkStart w:id="895" w:name="_Toc296944546"/>
      <w:bookmarkStart w:id="896" w:name="_Toc296346708"/>
      <w:bookmarkStart w:id="897" w:name="_Toc292559917"/>
      <w:bookmarkStart w:id="898" w:name="_Toc297120507"/>
      <w:bookmarkStart w:id="899" w:name="_Toc296891247"/>
      <w:bookmarkStart w:id="900" w:name="_Toc297048393"/>
      <w:bookmarkStart w:id="901" w:name="_Toc292559412"/>
      <w:bookmarkStart w:id="902" w:name="_Toc296503207"/>
      <w:r>
        <w:rPr>
          <w:rFonts w:hint="eastAsia" w:ascii="仿宋" w:hAnsi="仿宋" w:eastAsia="仿宋" w:cs="仿宋"/>
          <w:color w:val="auto"/>
          <w:sz w:val="24"/>
          <w:szCs w:val="24"/>
          <w:highlight w:val="none"/>
        </w:rPr>
        <w:t>12.2 预付款</w:t>
      </w:r>
    </w:p>
    <w:bookmarkEnd w:id="887"/>
    <w:bookmarkEnd w:id="888"/>
    <w:bookmarkEnd w:id="889"/>
    <w:bookmarkEnd w:id="890"/>
    <w:bookmarkEnd w:id="891"/>
    <w:bookmarkEnd w:id="89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12.2.1 预付款的支付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预付款支付比例或金额：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预付款支付期限：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预付款扣回的方式：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12.2.2 预付款担保</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承包人提交预付款担保的期限：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预付款担保的形式为：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893"/>
    <w:bookmarkEnd w:id="894"/>
    <w:bookmarkEnd w:id="895"/>
    <w:bookmarkEnd w:id="896"/>
    <w:bookmarkEnd w:id="897"/>
    <w:bookmarkEnd w:id="898"/>
    <w:bookmarkEnd w:id="899"/>
    <w:bookmarkEnd w:id="900"/>
    <w:bookmarkEnd w:id="901"/>
    <w:bookmarkEnd w:id="90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计量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12.3.1 计量原则</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工程量计算规则：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12.3.2 计量周期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关于计量周期的约定：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 单价合同的计量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关于单价合同计量的约定：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12.3.4 总价合同的计量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关于总价合同计量的约定：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12.3.5总价合同采用支付分解表计量支付的，是否适用第12.3.4 项〔总价合同的计量〕约定进行计量：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12.3.6 其他价格形式合同的计量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其他价格形式的计量方式和程序：</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 工程进度款支付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bookmarkStart w:id="903" w:name="_Toc297216215"/>
      <w:bookmarkStart w:id="904" w:name="_Toc296503211"/>
      <w:bookmarkStart w:id="905" w:name="_Toc292559416"/>
      <w:bookmarkStart w:id="906" w:name="_Toc296891251"/>
      <w:bookmarkStart w:id="907" w:name="_Toc297120511"/>
      <w:bookmarkStart w:id="908" w:name="_Toc296347210"/>
      <w:bookmarkStart w:id="909" w:name="_Toc300935006"/>
      <w:bookmarkStart w:id="910" w:name="_Toc296346712"/>
      <w:bookmarkStart w:id="911" w:name="_Toc297048397"/>
      <w:bookmarkStart w:id="912" w:name="_Toc296944550"/>
      <w:bookmarkStart w:id="913" w:name="_Toc297123556"/>
      <w:bookmarkStart w:id="914" w:name="_Toc296891039"/>
      <w:bookmarkStart w:id="915" w:name="_Toc292559921"/>
      <w:bookmarkStart w:id="916" w:name="_Toc303539163"/>
      <w:r>
        <w:rPr>
          <w:rFonts w:hint="eastAsia" w:ascii="仿宋" w:hAnsi="仿宋" w:eastAsia="仿宋" w:cs="仿宋"/>
          <w:color w:val="auto"/>
          <w:sz w:val="24"/>
          <w:szCs w:val="24"/>
          <w:highlight w:val="none"/>
        </w:rPr>
        <w:t>12.4.1 付款周期</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关于付款周期的约定：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Pr>
          <w:rFonts w:hint="eastAsia" w:ascii="仿宋" w:hAnsi="仿宋" w:eastAsia="仿宋" w:cs="仿宋"/>
          <w:color w:val="auto"/>
          <w:sz w:val="24"/>
          <w:szCs w:val="24"/>
          <w:highlight w:val="none"/>
        </w:rPr>
        <w:t>2.4.3 进度付款申请单的提交</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12.4.6 支付分解表的编制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2、总价合同支付分解表的编制与审批：</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3、单价合同的总价项目支付分解表的编制与审批：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746"/>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917" w:name="_Toc351203645"/>
      <w:bookmarkStart w:id="918" w:name="_Toc296891259"/>
      <w:bookmarkStart w:id="919" w:name="_Toc303539172"/>
      <w:bookmarkStart w:id="920" w:name="_Toc296346720"/>
      <w:bookmarkStart w:id="921" w:name="_Toc292559929"/>
      <w:bookmarkStart w:id="922" w:name="_Toc312678053"/>
      <w:bookmarkStart w:id="923" w:name="_Toc297216223"/>
      <w:bookmarkStart w:id="924" w:name="_Toc296347218"/>
      <w:bookmarkStart w:id="925" w:name="_Toc297123564"/>
      <w:bookmarkStart w:id="926" w:name="_Toc304295593"/>
      <w:bookmarkStart w:id="927" w:name="_Toc300935015"/>
      <w:bookmarkStart w:id="928" w:name="_Toc297048405"/>
      <w:bookmarkStart w:id="929" w:name="_Toc296503219"/>
      <w:bookmarkStart w:id="930" w:name="_Toc296944558"/>
      <w:bookmarkStart w:id="931" w:name="_Toc297120519"/>
      <w:bookmarkStart w:id="932" w:name="_Toc292559424"/>
      <w:bookmarkStart w:id="933" w:name="_Toc296891047"/>
      <w:r>
        <w:rPr>
          <w:rFonts w:hint="eastAsia" w:ascii="仿宋" w:hAnsi="仿宋" w:eastAsia="仿宋" w:cs="仿宋"/>
          <w:bCs/>
          <w:color w:val="auto"/>
          <w:sz w:val="24"/>
          <w:szCs w:val="24"/>
          <w:highlight w:val="none"/>
        </w:rPr>
        <w:t>13. 验收和工程试车</w:t>
      </w:r>
      <w:bookmarkEnd w:id="917"/>
    </w:p>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分部分项工程验收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13.1.2监理人不能按时进行验收时，应提前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小时提交书面延期要求。</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关于延期最长不得超过：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bookmarkStart w:id="934" w:name="_Toc296891263"/>
      <w:bookmarkStart w:id="935" w:name="_Toc297120523"/>
      <w:bookmarkStart w:id="936" w:name="_Toc297216224"/>
      <w:bookmarkStart w:id="937" w:name="_Toc297048409"/>
      <w:bookmarkStart w:id="938" w:name="_Toc312678056"/>
      <w:bookmarkStart w:id="939" w:name="_Toc303539173"/>
      <w:bookmarkStart w:id="940" w:name="_Toc296503223"/>
      <w:bookmarkStart w:id="941" w:name="_Toc296346724"/>
      <w:bookmarkStart w:id="942" w:name="_Toc296891051"/>
      <w:bookmarkStart w:id="943" w:name="_Toc300935016"/>
      <w:bookmarkStart w:id="944" w:name="_Toc296347222"/>
      <w:bookmarkStart w:id="945" w:name="_Toc292559428"/>
      <w:bookmarkStart w:id="946" w:name="_Toc297123565"/>
      <w:bookmarkStart w:id="947" w:name="_Toc304295596"/>
      <w:bookmarkStart w:id="948" w:name="_Toc296944562"/>
      <w:bookmarkStart w:id="949" w:name="_Toc292559933"/>
      <w:bookmarkStart w:id="950" w:name="_Toc267251476"/>
      <w:bookmarkStart w:id="951" w:name="_Toc267251471"/>
      <w:bookmarkStart w:id="952" w:name="_Toc267251470"/>
      <w:bookmarkStart w:id="953" w:name="_Toc267251474"/>
      <w:bookmarkStart w:id="954" w:name="_Toc267251475"/>
      <w:bookmarkStart w:id="955" w:name="_Toc267251472"/>
      <w:bookmarkStart w:id="956" w:name="_Toc267251473"/>
      <w:r>
        <w:rPr>
          <w:rFonts w:hint="eastAsia" w:ascii="仿宋" w:hAnsi="仿宋" w:eastAsia="仿宋" w:cs="仿宋"/>
          <w:color w:val="auto"/>
          <w:sz w:val="24"/>
          <w:szCs w:val="24"/>
          <w:highlight w:val="none"/>
        </w:rPr>
        <w:t>13.2 竣工验收</w:t>
      </w:r>
    </w:p>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bookmarkStart w:id="957" w:name="_Toc280868704"/>
      <w:bookmarkStart w:id="958" w:name="_Toc280868705"/>
      <w:bookmarkStart w:id="959" w:name="_Toc280868706"/>
      <w:bookmarkStart w:id="960" w:name="_Toc280868707"/>
      <w:bookmarkStart w:id="961" w:name="_Toc280868708"/>
      <w:bookmarkStart w:id="962" w:name="_Toc280868709"/>
      <w:r>
        <w:rPr>
          <w:rFonts w:hint="eastAsia" w:ascii="仿宋" w:hAnsi="仿宋" w:eastAsia="仿宋" w:cs="仿宋"/>
          <w:color w:val="auto"/>
          <w:sz w:val="24"/>
          <w:szCs w:val="24"/>
          <w:highlight w:val="none"/>
        </w:rPr>
        <w:t>13.2.2竣工验收程序</w:t>
      </w:r>
    </w:p>
    <w:bookmarkEnd w:id="957"/>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关于竣工验收程序的约定：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发包人不按照本项约定组织竣工验收、颁发工程接收证书的违约金的计算方法：</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58"/>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13.2.5移交、接收全部与部分工程</w:t>
      </w:r>
    </w:p>
    <w:bookmarkEnd w:id="959"/>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承包人向发包人移交工程的期限：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发包人未按本合同约定接收全部或部分工程的，违约金的计算方法为：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60"/>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承包人未按时移交工程的，违约金的计算方法为：</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工程试车</w:t>
      </w:r>
    </w:p>
    <w:bookmarkEnd w:id="961"/>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13.3.1 试车程序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工程试车内容：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（1）单机无负荷试车费用由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（2）无负荷联动试车费用由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承担。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13.3.3 投料试车</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关于投料试车相关事项的约定：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竣工退场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 竣工退场</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承包人完成竣工退场的期限：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963" w:name="_Toc351203646"/>
      <w:r>
        <w:rPr>
          <w:rFonts w:hint="eastAsia" w:ascii="仿宋" w:hAnsi="仿宋" w:eastAsia="仿宋" w:cs="仿宋"/>
          <w:bCs/>
          <w:color w:val="auto"/>
          <w:sz w:val="24"/>
          <w:szCs w:val="24"/>
          <w:highlight w:val="none"/>
        </w:rPr>
        <w:t>14. 竣工结算</w:t>
      </w:r>
      <w:bookmarkEnd w:id="963"/>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竣工结算申请</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承包人提交竣工结算申请单的期限：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竣工结算申请单应包括的内容：</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竣工结算审核</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发包人审批竣工付款申请单的期限：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发包人完成竣工付款的期限：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关于竣工付款证书异议部分复核的方式和程序：</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最终结清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14.4.1 最终结清申请单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承包人提交最终结清申请单的份数：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承包人提交最终结算申请单的期限：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14.4.2 最终结清证书和支付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（1）发包人完成最终结清申请单的审批并颁发最终结清证书的期限：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（2）发包人完成支付的期限：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50"/>
    <w:bookmarkEnd w:id="951"/>
    <w:bookmarkEnd w:id="952"/>
    <w:bookmarkEnd w:id="953"/>
    <w:bookmarkEnd w:id="954"/>
    <w:bookmarkEnd w:id="955"/>
    <w:bookmarkEnd w:id="956"/>
    <w:bookmarkEnd w:id="96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964" w:name="_Toc351203647"/>
      <w:bookmarkStart w:id="965" w:name="_Toc267251483"/>
      <w:bookmarkStart w:id="966" w:name="_Toc267251482"/>
      <w:bookmarkStart w:id="967" w:name="_Toc267251484"/>
      <w:bookmarkStart w:id="968" w:name="_Toc267251485"/>
      <w:bookmarkStart w:id="969" w:name="_Toc267251489"/>
      <w:bookmarkStart w:id="970" w:name="_Toc267251488"/>
      <w:bookmarkStart w:id="971" w:name="_Toc267251486"/>
      <w:bookmarkStart w:id="972" w:name="_Toc267251490"/>
      <w:bookmarkStart w:id="973" w:name="_Toc267251497"/>
      <w:bookmarkStart w:id="974" w:name="_Toc267251501"/>
      <w:bookmarkStart w:id="975" w:name="_Toc267251491"/>
      <w:bookmarkStart w:id="976" w:name="_Toc267251495"/>
      <w:bookmarkStart w:id="977" w:name="_Toc267251502"/>
      <w:bookmarkStart w:id="978" w:name="_Toc267251492"/>
      <w:bookmarkStart w:id="979" w:name="_Toc267251496"/>
      <w:bookmarkStart w:id="980" w:name="_Toc267251499"/>
      <w:bookmarkStart w:id="981" w:name="_Toc267251494"/>
      <w:bookmarkStart w:id="982" w:name="_Toc267251498"/>
      <w:bookmarkStart w:id="983" w:name="_Toc267251493"/>
      <w:bookmarkStart w:id="984" w:name="_Toc267251503"/>
      <w:bookmarkStart w:id="985" w:name="_Toc267251506"/>
      <w:bookmarkStart w:id="986" w:name="_Toc267251504"/>
      <w:bookmarkStart w:id="987" w:name="_Toc267251507"/>
      <w:bookmarkStart w:id="988" w:name="_Toc267251508"/>
      <w:bookmarkStart w:id="989" w:name="_Toc267251515"/>
      <w:bookmarkStart w:id="990" w:name="_Toc267251514"/>
      <w:bookmarkStart w:id="991" w:name="_Toc267251510"/>
      <w:bookmarkStart w:id="992" w:name="_Toc267251511"/>
      <w:bookmarkStart w:id="993" w:name="_Toc267251513"/>
      <w:bookmarkStart w:id="994" w:name="_Toc267251509"/>
      <w:r>
        <w:rPr>
          <w:rFonts w:hint="eastAsia" w:ascii="仿宋" w:hAnsi="仿宋" w:eastAsia="仿宋" w:cs="仿宋"/>
          <w:bCs/>
          <w:color w:val="auto"/>
          <w:sz w:val="24"/>
          <w:szCs w:val="24"/>
          <w:highlight w:val="none"/>
        </w:rPr>
        <w:t>15. 缺陷责任期与保修</w:t>
      </w:r>
      <w:bookmarkEnd w:id="964"/>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15.2缺陷责任期</w:t>
      </w:r>
      <w:bookmarkEnd w:id="965"/>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缺陷责任期的具体期限：</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质量保证金</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。在工程项目竣工前，承包人按专用合同条款第3.7条提供履约担保的，发包人不得同时预留工程质量保证金。</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15.3.1 承包人提供质量保证金的方式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质量保证金采用以下第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（1）质量保证金保函，保证金额为：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%的工程款；</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15.3.2 质量保证金的扣留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质量保证金的扣留采取以下第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（1）在支付工程进度款时逐次扣留，在此情形下，质量保证金的计算基数不包括预付款的支付、扣回以及价格调整的金额；</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（2）工程竣工结算时一次性扣留质量保证金；</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（3）其他扣留方式: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关于质量保证金的补充约定：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66"/>
    <w:bookmarkEnd w:id="967"/>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15.4保修</w:t>
      </w:r>
    </w:p>
    <w:bookmarkEnd w:id="968"/>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15.4.1 保修责任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工程保修期为：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15.4.3 修复通知</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承包人收到保修通知并到达工程现场的合理时间：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69"/>
    <w:bookmarkEnd w:id="970"/>
    <w:bookmarkEnd w:id="971"/>
    <w:bookmarkEnd w:id="972"/>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995" w:name="_Toc351203648"/>
      <w:bookmarkStart w:id="996" w:name="_Toc280868717"/>
      <w:bookmarkStart w:id="997" w:name="_Toc280868718"/>
      <w:r>
        <w:rPr>
          <w:rFonts w:hint="eastAsia" w:ascii="仿宋" w:hAnsi="仿宋" w:eastAsia="仿宋" w:cs="仿宋"/>
          <w:bCs/>
          <w:color w:val="auto"/>
          <w:sz w:val="24"/>
          <w:szCs w:val="24"/>
          <w:highlight w:val="none"/>
        </w:rPr>
        <w:t>16. 违约</w:t>
      </w:r>
      <w:bookmarkEnd w:id="995"/>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 发包人违约</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16.1.1发包人违约的情形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发包人违约的其他情形：</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16.1.2 发包人违约的责任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（1）因发包人原因未能在计划开工日期前7天内下达开工通知的违约责任：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（3）发包人违反第10.1款〔变更的范围〕第（2）项约定，自行实施被取消的工作或转由他人实施的违约责任：</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（5）因发包人违反合同约定造成暂停施工的违约责任：</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（6）发包人无正当理由没有在约定期限内发出复工指示，导致承包人无法复工的违约责任：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16.1.3 因发包人违约解除合同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承包人按16.1.1项〔发包人违约的情形〕约定暂停施工满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天后发包人仍不纠正其违约行为并致使合同目的不能实现的，承包人有权解除合同。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承包人违约</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16.2.1 承包人违约的情形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承包人违约的其他情形：</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16.2.2承包人违约的责任</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承包人违约责任的承担方式和计算方法：</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16.2.3 因承包人违约解除合同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关于承包人违约解除合同的特别约定：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998" w:name="_Toc351203649"/>
      <w:r>
        <w:rPr>
          <w:rFonts w:hint="eastAsia" w:ascii="仿宋" w:hAnsi="仿宋" w:eastAsia="仿宋" w:cs="仿宋"/>
          <w:bCs/>
          <w:color w:val="auto"/>
          <w:sz w:val="24"/>
          <w:szCs w:val="24"/>
          <w:highlight w:val="none"/>
        </w:rPr>
        <w:t>17. 不可抗力</w:t>
      </w:r>
      <w:bookmarkEnd w:id="998"/>
      <w:r>
        <w:rPr>
          <w:rFonts w:hint="eastAsia" w:ascii="仿宋" w:hAnsi="仿宋" w:eastAsia="仿宋" w:cs="仿宋"/>
          <w:bCs/>
          <w:color w:val="auto"/>
          <w:sz w:val="24"/>
          <w:szCs w:val="24"/>
          <w:highlight w:val="none"/>
        </w:rPr>
        <w:t xml:space="preserve"> </w:t>
      </w:r>
      <w:bookmarkEnd w:id="996"/>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不可抗力的确认</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除通用合同条款约定的不可抗力事件之外，视为不可抗力的其他情形：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 因不可抗力解除合同</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合同解除后，发包人应在商定或确定发包人应支付款项后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天内完成款项的支付。</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999" w:name="_Toc351203650"/>
      <w:r>
        <w:rPr>
          <w:rFonts w:hint="eastAsia" w:ascii="仿宋" w:hAnsi="仿宋" w:eastAsia="仿宋" w:cs="仿宋"/>
          <w:bCs/>
          <w:color w:val="auto"/>
          <w:sz w:val="24"/>
          <w:szCs w:val="24"/>
          <w:highlight w:val="none"/>
        </w:rPr>
        <w:t>18. 保险</w:t>
      </w:r>
      <w:bookmarkEnd w:id="999"/>
    </w:p>
    <w:bookmarkEnd w:id="997"/>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工程保险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关于工程保险的特别约定：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其他保险</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关于其他保险的约定：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承包人是否应为其施工设备等办理财产保险：</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18.7 通知义务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关于变更保险合同时的通知义务的约定：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bookmarkEnd w:id="973"/>
    <w:bookmarkEnd w:id="974"/>
    <w:bookmarkEnd w:id="975"/>
    <w:bookmarkEnd w:id="976"/>
    <w:bookmarkEnd w:id="977"/>
    <w:bookmarkEnd w:id="978"/>
    <w:bookmarkEnd w:id="979"/>
    <w:bookmarkEnd w:id="980"/>
    <w:bookmarkEnd w:id="981"/>
    <w:bookmarkEnd w:id="982"/>
    <w:bookmarkEnd w:id="983"/>
    <w:bookmarkEnd w:id="984"/>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bCs/>
          <w:color w:val="auto"/>
          <w:sz w:val="24"/>
          <w:szCs w:val="24"/>
          <w:highlight w:val="none"/>
        </w:rPr>
      </w:pPr>
      <w:bookmarkStart w:id="1000" w:name="_Toc351203651"/>
      <w:r>
        <w:rPr>
          <w:rFonts w:hint="eastAsia" w:ascii="仿宋" w:hAnsi="仿宋" w:eastAsia="仿宋" w:cs="仿宋"/>
          <w:bCs/>
          <w:color w:val="auto"/>
          <w:sz w:val="24"/>
          <w:szCs w:val="24"/>
          <w:highlight w:val="none"/>
        </w:rPr>
        <w:t>20. 争议解决</w:t>
      </w:r>
      <w:bookmarkEnd w:id="1000"/>
    </w:p>
    <w:bookmarkEnd w:id="985"/>
    <w:bookmarkEnd w:id="986"/>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争</w:t>
      </w:r>
      <w:bookmarkEnd w:id="987"/>
      <w:r>
        <w:rPr>
          <w:rFonts w:hint="eastAsia" w:ascii="仿宋" w:hAnsi="仿宋" w:eastAsia="仿宋" w:cs="仿宋"/>
          <w:color w:val="auto"/>
          <w:sz w:val="24"/>
          <w:szCs w:val="24"/>
          <w:highlight w:val="none"/>
        </w:rPr>
        <w:t>议评审</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合同当事人是否同意将工程争议提交争议评审小组决定：</w:t>
      </w:r>
      <w:r>
        <w:rPr>
          <w:rFonts w:hint="eastAsia" w:ascii="仿宋" w:hAnsi="仿宋" w:eastAsia="仿宋" w:cs="仿宋"/>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20.3.1 争议评审小组的确定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争议评审小组成员的确定：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选定争议评审员的期限：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争议评审小组成员的报酬承担方式：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其他事项的约定：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 争议评审小组的决定</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合同当事人关于本项的约定：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20.4仲裁或诉讼</w:t>
      </w:r>
      <w:bookmarkEnd w:id="988"/>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因合同及合同有关事项发生的争议，按下列第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种方式解决：</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仲裁委员会申请仲裁；</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人民法院起诉。</w:t>
      </w:r>
      <w:bookmarkEnd w:id="989"/>
      <w:bookmarkEnd w:id="990"/>
      <w:bookmarkEnd w:id="991"/>
      <w:bookmarkEnd w:id="992"/>
      <w:bookmarkEnd w:id="993"/>
      <w:bookmarkEnd w:id="994"/>
    </w:p>
    <w:p>
      <w:pPr>
        <w:ind w:firstLine="1400" w:firstLineChars="500"/>
        <w:rPr>
          <w:rFonts w:ascii="宋体" w:hAnsi="宋体"/>
          <w:color w:val="auto"/>
          <w:sz w:val="28"/>
          <w:szCs w:val="28"/>
          <w:highlight w:val="none"/>
        </w:rPr>
      </w:pPr>
    </w:p>
    <w:p>
      <w:pPr>
        <w:pStyle w:val="2"/>
        <w:rPr>
          <w:color w:val="auto"/>
          <w:highlight w:val="none"/>
        </w:rPr>
      </w:pPr>
    </w:p>
    <w:p>
      <w:pPr>
        <w:rPr>
          <w:rFonts w:ascii="宋体" w:hAnsi="宋体"/>
          <w:color w:val="auto"/>
          <w:sz w:val="28"/>
          <w:szCs w:val="28"/>
          <w:highlight w:val="none"/>
        </w:rPr>
      </w:pPr>
    </w:p>
    <w:p>
      <w:pPr>
        <w:pStyle w:val="15"/>
        <w:snapToGrid w:val="0"/>
        <w:spacing w:line="480" w:lineRule="exact"/>
        <w:textAlignment w:val="baseline"/>
        <w:rPr>
          <w:rFonts w:ascii="仿宋_GB2312" w:hAnsi="仿宋_GB2312" w:eastAsia="仿宋_GB2312" w:cs="仿宋_GB2312"/>
          <w:b/>
          <w:color w:val="auto"/>
          <w:sz w:val="28"/>
          <w:szCs w:val="28"/>
          <w:highlight w:val="none"/>
          <w:lang w:eastAsia="zh-CN"/>
        </w:rPr>
      </w:pPr>
    </w:p>
    <w:p>
      <w:pPr>
        <w:pStyle w:val="15"/>
        <w:snapToGrid w:val="0"/>
        <w:spacing w:line="480" w:lineRule="exact"/>
        <w:textAlignment w:val="baseline"/>
        <w:rPr>
          <w:rFonts w:ascii="仿宋_GB2312" w:hAnsi="仿宋_GB2312" w:eastAsia="仿宋_GB2312" w:cs="仿宋_GB2312"/>
          <w:b/>
          <w:color w:val="auto"/>
          <w:sz w:val="28"/>
          <w:szCs w:val="28"/>
          <w:highlight w:val="none"/>
          <w:lang w:eastAsia="zh-CN"/>
        </w:rPr>
      </w:pPr>
    </w:p>
    <w:p>
      <w:pPr>
        <w:pStyle w:val="15"/>
        <w:snapToGrid w:val="0"/>
        <w:spacing w:line="480" w:lineRule="exact"/>
        <w:textAlignment w:val="baseline"/>
        <w:rPr>
          <w:rFonts w:ascii="仿宋_GB2312" w:hAnsi="仿宋_GB2312" w:eastAsia="仿宋_GB2312" w:cs="仿宋_GB2312"/>
          <w:b/>
          <w:color w:val="auto"/>
          <w:sz w:val="28"/>
          <w:szCs w:val="28"/>
          <w:highlight w:val="none"/>
          <w:lang w:eastAsia="zh-CN"/>
        </w:rPr>
      </w:pPr>
    </w:p>
    <w:p>
      <w:pPr>
        <w:pStyle w:val="15"/>
        <w:snapToGrid w:val="0"/>
        <w:spacing w:line="480" w:lineRule="exact"/>
        <w:textAlignment w:val="baseline"/>
        <w:rPr>
          <w:rFonts w:ascii="仿宋_GB2312" w:hAnsi="仿宋_GB2312" w:eastAsia="仿宋_GB2312" w:cs="仿宋_GB2312"/>
          <w:b/>
          <w:color w:val="auto"/>
          <w:sz w:val="28"/>
          <w:szCs w:val="28"/>
          <w:highlight w:val="none"/>
          <w:lang w:eastAsia="zh-CN"/>
        </w:rPr>
      </w:pPr>
    </w:p>
    <w:p>
      <w:pPr>
        <w:pStyle w:val="15"/>
        <w:snapToGrid w:val="0"/>
        <w:spacing w:line="480" w:lineRule="exact"/>
        <w:textAlignment w:val="baseline"/>
        <w:rPr>
          <w:rFonts w:ascii="仿宋_GB2312" w:hAnsi="仿宋_GB2312" w:eastAsia="仿宋_GB2312" w:cs="仿宋_GB2312"/>
          <w:b/>
          <w:color w:val="auto"/>
          <w:sz w:val="28"/>
          <w:szCs w:val="28"/>
          <w:highlight w:val="none"/>
          <w:lang w:eastAsia="zh-CN"/>
        </w:rPr>
      </w:pPr>
    </w:p>
    <w:p>
      <w:pPr>
        <w:pStyle w:val="3"/>
        <w:jc w:val="center"/>
        <w:rPr>
          <w:rFonts w:hint="eastAsia" w:ascii="黑体" w:hAnsi="黑体" w:eastAsia="黑体" w:cs="黑体"/>
          <w:b/>
          <w:bCs/>
          <w:color w:val="auto"/>
          <w:sz w:val="36"/>
          <w:szCs w:val="36"/>
          <w:highlight w:val="none"/>
        </w:rPr>
      </w:pPr>
      <w:bookmarkStart w:id="1001" w:name="_Toc22025"/>
      <w:r>
        <w:rPr>
          <w:rFonts w:hint="eastAsia" w:ascii="黑体" w:hAnsi="黑体" w:eastAsia="黑体" w:cs="黑体"/>
          <w:b/>
          <w:bCs/>
          <w:color w:val="auto"/>
          <w:sz w:val="36"/>
          <w:szCs w:val="36"/>
          <w:highlight w:val="none"/>
        </w:rPr>
        <w:t>第八章</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工程量清单和图纸</w:t>
      </w:r>
      <w:bookmarkEnd w:id="1001"/>
    </w:p>
    <w:p>
      <w:pPr>
        <w:rPr>
          <w:rFonts w:ascii="仿宋" w:hAnsi="仿宋" w:eastAsia="仿宋" w:cs="仿宋"/>
          <w:color w:val="auto"/>
          <w:sz w:val="24"/>
          <w:highlight w:val="none"/>
        </w:rPr>
      </w:pPr>
    </w:p>
    <w:p>
      <w:pPr>
        <w:pStyle w:val="24"/>
        <w:tabs>
          <w:tab w:val="right" w:pos="8313"/>
          <w:tab w:val="clear" w:pos="11057"/>
        </w:tabs>
        <w:rPr>
          <w:rFonts w:ascii="仿宋" w:hAnsi="仿宋" w:eastAsia="仿宋" w:cs="仿宋"/>
          <w:color w:val="auto"/>
          <w:sz w:val="24"/>
          <w:highlight w:val="none"/>
        </w:rPr>
      </w:pPr>
      <w:r>
        <w:rPr>
          <w:rFonts w:hint="eastAsia" w:ascii="仿宋" w:hAnsi="仿宋" w:eastAsia="仿宋" w:cs="仿宋"/>
          <w:color w:val="auto"/>
          <w:sz w:val="24"/>
          <w:highlight w:val="none"/>
        </w:rPr>
        <w:t>另册。</w:t>
      </w:r>
    </w:p>
    <w:p>
      <w:pPr>
        <w:pStyle w:val="15"/>
        <w:snapToGrid w:val="0"/>
        <w:spacing w:line="480" w:lineRule="exact"/>
        <w:textAlignment w:val="baseline"/>
        <w:rPr>
          <w:rFonts w:ascii="仿宋" w:hAnsi="仿宋" w:eastAsia="仿宋" w:cs="仿宋"/>
          <w:b/>
          <w:color w:val="auto"/>
          <w:sz w:val="24"/>
          <w:szCs w:val="24"/>
          <w:highlight w:val="none"/>
          <w:lang w:eastAsia="zh-CN"/>
        </w:rPr>
      </w:pPr>
    </w:p>
    <w:p>
      <w:pPr>
        <w:pStyle w:val="15"/>
        <w:snapToGrid w:val="0"/>
        <w:spacing w:line="480" w:lineRule="exact"/>
        <w:textAlignment w:val="baseline"/>
        <w:rPr>
          <w:rFonts w:ascii="仿宋" w:hAnsi="仿宋" w:eastAsia="仿宋" w:cs="仿宋"/>
          <w:b/>
          <w:color w:val="auto"/>
          <w:sz w:val="24"/>
          <w:szCs w:val="24"/>
          <w:highlight w:val="none"/>
          <w:lang w:eastAsia="zh-CN"/>
        </w:rPr>
      </w:pPr>
    </w:p>
    <w:p>
      <w:pPr>
        <w:pStyle w:val="15"/>
        <w:snapToGrid w:val="0"/>
        <w:spacing w:line="480" w:lineRule="exact"/>
        <w:textAlignment w:val="baseline"/>
        <w:rPr>
          <w:rFonts w:ascii="仿宋" w:hAnsi="仿宋" w:eastAsia="仿宋" w:cs="仿宋"/>
          <w:b/>
          <w:color w:val="auto"/>
          <w:sz w:val="24"/>
          <w:szCs w:val="24"/>
          <w:highlight w:val="none"/>
          <w:lang w:eastAsia="zh-CN"/>
        </w:rPr>
      </w:pPr>
    </w:p>
    <w:p>
      <w:pPr>
        <w:pStyle w:val="15"/>
        <w:snapToGrid w:val="0"/>
        <w:spacing w:line="480" w:lineRule="exact"/>
        <w:textAlignment w:val="baseline"/>
        <w:rPr>
          <w:rFonts w:ascii="仿宋_GB2312" w:hAnsi="仿宋_GB2312" w:eastAsia="仿宋_GB2312" w:cs="仿宋_GB2312"/>
          <w:b/>
          <w:color w:val="auto"/>
          <w:sz w:val="28"/>
          <w:szCs w:val="28"/>
          <w:highlight w:val="none"/>
          <w:lang w:eastAsia="zh-CN"/>
        </w:rPr>
      </w:pPr>
      <w:r>
        <w:rPr>
          <w:rFonts w:hint="eastAsia" w:ascii="仿宋" w:hAnsi="仿宋" w:eastAsia="仿宋" w:cs="仿宋"/>
          <w:b/>
          <w:color w:val="auto"/>
          <w:sz w:val="24"/>
          <w:szCs w:val="24"/>
          <w:highlight w:val="none"/>
          <w:lang w:eastAsia="zh-CN"/>
        </w:rPr>
        <w:t>注：</w:t>
      </w:r>
      <w:r>
        <w:rPr>
          <w:rFonts w:hint="eastAsia" w:ascii="仿宋" w:hAnsi="仿宋" w:eastAsia="仿宋" w:cs="仿宋"/>
          <w:color w:val="auto"/>
          <w:sz w:val="28"/>
          <w:szCs w:val="28"/>
          <w:highlight w:val="none"/>
          <w:lang w:eastAsia="zh-CN"/>
        </w:rPr>
        <w:t>若工程量清单与竞争性磋商文件要求不一致，以工程量清单为准。</w:t>
      </w:r>
    </w:p>
    <w:p>
      <w:pPr>
        <w:pStyle w:val="15"/>
        <w:snapToGrid w:val="0"/>
        <w:spacing w:line="480" w:lineRule="exact"/>
        <w:textAlignment w:val="baseline"/>
        <w:rPr>
          <w:rFonts w:ascii="仿宋_GB2312" w:hAnsi="仿宋_GB2312" w:eastAsia="仿宋_GB2312" w:cs="仿宋_GB2312"/>
          <w:b/>
          <w:color w:val="auto"/>
          <w:sz w:val="28"/>
          <w:szCs w:val="28"/>
          <w:highlight w:val="none"/>
          <w:lang w:eastAsia="zh-CN"/>
        </w:rPr>
      </w:pPr>
    </w:p>
    <w:sectPr>
      <w:headerReference r:id="rId11" w:type="default"/>
      <w:footerReference r:id="rId12" w:type="default"/>
      <w:pgSz w:w="11907" w:h="16839"/>
      <w:pgMar w:top="1418" w:right="1559" w:bottom="1418" w:left="1559"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长城小标宋体">
    <w:altName w:val="宋体"/>
    <w:panose1 w:val="02010609010101010101"/>
    <w:charset w:val="86"/>
    <w:family w:val="decorative"/>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dobe ?? Std R">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213"/>
        <w:tab w:val="left" w:pos="4911"/>
      </w:tabs>
      <w:jc w:val="left"/>
    </w:pPr>
    <w:r>
      <w:rPr>
        <w:rFonts w:hint="eastAsia"/>
        <w:lang w:eastAsia="zh-CN"/>
      </w:rPr>
      <w:tab/>
    </w:r>
    <w:sdt>
      <w:sdtPr>
        <w:id w:val="35066673"/>
      </w:sdtPr>
      <w:sdtContent>
        <w:r>
          <w:rPr>
            <w:rFonts w:hint="eastAsia"/>
            <w:lang w:eastAsia="zh-CN"/>
          </w:rPr>
          <w:tab/>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667B4"/>
    <w:multiLevelType w:val="singleLevel"/>
    <w:tmpl w:val="B3C667B4"/>
    <w:lvl w:ilvl="0" w:tentative="0">
      <w:start w:val="13"/>
      <w:numFmt w:val="chineseCounting"/>
      <w:suff w:val="space"/>
      <w:lvlText w:val="%1、"/>
      <w:lvlJc w:val="left"/>
      <w:rPr>
        <w:rFonts w:hint="eastAsia"/>
      </w:rPr>
    </w:lvl>
  </w:abstractNum>
  <w:abstractNum w:abstractNumId="1">
    <w:nsid w:val="E536E6E8"/>
    <w:multiLevelType w:val="singleLevel"/>
    <w:tmpl w:val="E536E6E8"/>
    <w:lvl w:ilvl="0" w:tentative="0">
      <w:start w:val="9"/>
      <w:numFmt w:val="chineseCounting"/>
      <w:suff w:val="nothing"/>
      <w:lvlText w:val="%1、"/>
      <w:lvlJc w:val="left"/>
      <w:rPr>
        <w:rFonts w:hint="eastAsia"/>
      </w:rPr>
    </w:lvl>
  </w:abstractNum>
  <w:abstractNum w:abstractNumId="2">
    <w:nsid w:val="57429069"/>
    <w:multiLevelType w:val="singleLevel"/>
    <w:tmpl w:val="57429069"/>
    <w:lvl w:ilvl="0" w:tentative="0">
      <w:start w:val="1"/>
      <w:numFmt w:val="decimal"/>
      <w:suff w:val="nothing"/>
      <w:lvlText w:val="（%1）"/>
      <w:lvlJc w:val="left"/>
    </w:lvl>
  </w:abstractNum>
  <w:abstractNum w:abstractNumId="3">
    <w:nsid w:val="78691E9E"/>
    <w:multiLevelType w:val="multilevel"/>
    <w:tmpl w:val="78691E9E"/>
    <w:lvl w:ilvl="0" w:tentative="0">
      <w:start w:val="1"/>
      <w:numFmt w:val="chineseCountingThousand"/>
      <w:suff w:val="space"/>
      <w:lvlText w:val="%1. "/>
      <w:lvlJc w:val="left"/>
      <w:pPr>
        <w:ind w:left="907" w:hanging="907"/>
      </w:pPr>
      <w:rPr>
        <w:rFonts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4NjMxNWZkMjJiYmY5ZDgzYzVjNjM3MWVkZDBkYTIifQ=="/>
  </w:docVars>
  <w:rsids>
    <w:rsidRoot w:val="00875B75"/>
    <w:rsid w:val="00002E38"/>
    <w:rsid w:val="00011BC3"/>
    <w:rsid w:val="00012928"/>
    <w:rsid w:val="000142C7"/>
    <w:rsid w:val="00014F56"/>
    <w:rsid w:val="00052EA3"/>
    <w:rsid w:val="0005763A"/>
    <w:rsid w:val="00065D65"/>
    <w:rsid w:val="000667C1"/>
    <w:rsid w:val="00071BBF"/>
    <w:rsid w:val="000877EF"/>
    <w:rsid w:val="00090FC5"/>
    <w:rsid w:val="00092BAB"/>
    <w:rsid w:val="00095E7B"/>
    <w:rsid w:val="000A1B81"/>
    <w:rsid w:val="000A51A0"/>
    <w:rsid w:val="000B3C72"/>
    <w:rsid w:val="000B579F"/>
    <w:rsid w:val="000C451F"/>
    <w:rsid w:val="000C47E5"/>
    <w:rsid w:val="000C60E9"/>
    <w:rsid w:val="000D1132"/>
    <w:rsid w:val="000D30CD"/>
    <w:rsid w:val="000D76F5"/>
    <w:rsid w:val="000F08DF"/>
    <w:rsid w:val="000F0C6E"/>
    <w:rsid w:val="00116960"/>
    <w:rsid w:val="00137C17"/>
    <w:rsid w:val="001403BA"/>
    <w:rsid w:val="00143281"/>
    <w:rsid w:val="0015095C"/>
    <w:rsid w:val="00156113"/>
    <w:rsid w:val="001602A8"/>
    <w:rsid w:val="001613E1"/>
    <w:rsid w:val="00162EA7"/>
    <w:rsid w:val="00163241"/>
    <w:rsid w:val="00177858"/>
    <w:rsid w:val="00182870"/>
    <w:rsid w:val="0018568F"/>
    <w:rsid w:val="00196216"/>
    <w:rsid w:val="001A4B24"/>
    <w:rsid w:val="001B1BBE"/>
    <w:rsid w:val="001B1E99"/>
    <w:rsid w:val="001C1028"/>
    <w:rsid w:val="001D0A4C"/>
    <w:rsid w:val="001D24DF"/>
    <w:rsid w:val="001F0A1A"/>
    <w:rsid w:val="00203C8D"/>
    <w:rsid w:val="00203F36"/>
    <w:rsid w:val="00206BDD"/>
    <w:rsid w:val="002104C9"/>
    <w:rsid w:val="00210644"/>
    <w:rsid w:val="0021136D"/>
    <w:rsid w:val="00213868"/>
    <w:rsid w:val="002254B2"/>
    <w:rsid w:val="00254087"/>
    <w:rsid w:val="002550DF"/>
    <w:rsid w:val="00256953"/>
    <w:rsid w:val="00270EA1"/>
    <w:rsid w:val="002817F9"/>
    <w:rsid w:val="00282145"/>
    <w:rsid w:val="00285E5D"/>
    <w:rsid w:val="00285F55"/>
    <w:rsid w:val="002872D8"/>
    <w:rsid w:val="002919B5"/>
    <w:rsid w:val="00295037"/>
    <w:rsid w:val="002969CA"/>
    <w:rsid w:val="002A4163"/>
    <w:rsid w:val="002A6351"/>
    <w:rsid w:val="002B3257"/>
    <w:rsid w:val="002B3F0D"/>
    <w:rsid w:val="002B7B08"/>
    <w:rsid w:val="002D16FB"/>
    <w:rsid w:val="002D6FCE"/>
    <w:rsid w:val="002E27B9"/>
    <w:rsid w:val="002E4E32"/>
    <w:rsid w:val="002E7519"/>
    <w:rsid w:val="002F2332"/>
    <w:rsid w:val="002F32E8"/>
    <w:rsid w:val="00310914"/>
    <w:rsid w:val="0031112A"/>
    <w:rsid w:val="00312047"/>
    <w:rsid w:val="00325E2E"/>
    <w:rsid w:val="003328E5"/>
    <w:rsid w:val="00342AF8"/>
    <w:rsid w:val="003436FF"/>
    <w:rsid w:val="003560C4"/>
    <w:rsid w:val="00373966"/>
    <w:rsid w:val="00374438"/>
    <w:rsid w:val="00383BC9"/>
    <w:rsid w:val="00385164"/>
    <w:rsid w:val="003A258D"/>
    <w:rsid w:val="003C3310"/>
    <w:rsid w:val="003C3452"/>
    <w:rsid w:val="003D1E25"/>
    <w:rsid w:val="003D4824"/>
    <w:rsid w:val="003D5176"/>
    <w:rsid w:val="003E36E5"/>
    <w:rsid w:val="003E5A5B"/>
    <w:rsid w:val="004008A0"/>
    <w:rsid w:val="00410587"/>
    <w:rsid w:val="004113B2"/>
    <w:rsid w:val="00411BBD"/>
    <w:rsid w:val="00412749"/>
    <w:rsid w:val="00420495"/>
    <w:rsid w:val="00421E0B"/>
    <w:rsid w:val="00425917"/>
    <w:rsid w:val="00430E8A"/>
    <w:rsid w:val="004348A9"/>
    <w:rsid w:val="00435663"/>
    <w:rsid w:val="00435AD1"/>
    <w:rsid w:val="0044006A"/>
    <w:rsid w:val="00455FC4"/>
    <w:rsid w:val="0047350D"/>
    <w:rsid w:val="004745C4"/>
    <w:rsid w:val="00477136"/>
    <w:rsid w:val="0048001C"/>
    <w:rsid w:val="00492FDE"/>
    <w:rsid w:val="00493C6B"/>
    <w:rsid w:val="00494B3F"/>
    <w:rsid w:val="004A74B5"/>
    <w:rsid w:val="004A7CED"/>
    <w:rsid w:val="004B1558"/>
    <w:rsid w:val="004B3035"/>
    <w:rsid w:val="004C1E7C"/>
    <w:rsid w:val="004C51CF"/>
    <w:rsid w:val="004E3FAF"/>
    <w:rsid w:val="004F5B32"/>
    <w:rsid w:val="0051081B"/>
    <w:rsid w:val="00511390"/>
    <w:rsid w:val="00512DB8"/>
    <w:rsid w:val="00512F88"/>
    <w:rsid w:val="005160DF"/>
    <w:rsid w:val="00533BB5"/>
    <w:rsid w:val="00535860"/>
    <w:rsid w:val="00536601"/>
    <w:rsid w:val="0055418A"/>
    <w:rsid w:val="00562449"/>
    <w:rsid w:val="0056534D"/>
    <w:rsid w:val="00580C1D"/>
    <w:rsid w:val="0059010A"/>
    <w:rsid w:val="00590B68"/>
    <w:rsid w:val="005A6F04"/>
    <w:rsid w:val="005B3CFC"/>
    <w:rsid w:val="005C5FB7"/>
    <w:rsid w:val="005D31B0"/>
    <w:rsid w:val="005E2354"/>
    <w:rsid w:val="005E75E0"/>
    <w:rsid w:val="005F2CDC"/>
    <w:rsid w:val="005F5EC5"/>
    <w:rsid w:val="00602BA6"/>
    <w:rsid w:val="006041D2"/>
    <w:rsid w:val="006061CF"/>
    <w:rsid w:val="006113F0"/>
    <w:rsid w:val="00616C59"/>
    <w:rsid w:val="006239EE"/>
    <w:rsid w:val="0063163D"/>
    <w:rsid w:val="00634935"/>
    <w:rsid w:val="006519F5"/>
    <w:rsid w:val="006528BD"/>
    <w:rsid w:val="00664B4F"/>
    <w:rsid w:val="00665B3E"/>
    <w:rsid w:val="00692088"/>
    <w:rsid w:val="006A0B9A"/>
    <w:rsid w:val="006A19D8"/>
    <w:rsid w:val="006A5382"/>
    <w:rsid w:val="006C3F73"/>
    <w:rsid w:val="006C596D"/>
    <w:rsid w:val="006F10A4"/>
    <w:rsid w:val="0070036D"/>
    <w:rsid w:val="007115C3"/>
    <w:rsid w:val="007142CA"/>
    <w:rsid w:val="007173DE"/>
    <w:rsid w:val="0072706B"/>
    <w:rsid w:val="00735D2C"/>
    <w:rsid w:val="007465C3"/>
    <w:rsid w:val="00750F71"/>
    <w:rsid w:val="00755C5D"/>
    <w:rsid w:val="00761339"/>
    <w:rsid w:val="0076206E"/>
    <w:rsid w:val="00765107"/>
    <w:rsid w:val="00780830"/>
    <w:rsid w:val="007811AA"/>
    <w:rsid w:val="00783B48"/>
    <w:rsid w:val="00795593"/>
    <w:rsid w:val="007A242E"/>
    <w:rsid w:val="007B4508"/>
    <w:rsid w:val="007B5A90"/>
    <w:rsid w:val="007B5E5B"/>
    <w:rsid w:val="007C51FF"/>
    <w:rsid w:val="007D23AB"/>
    <w:rsid w:val="007F1C07"/>
    <w:rsid w:val="007F2C5D"/>
    <w:rsid w:val="007F790B"/>
    <w:rsid w:val="00806EDE"/>
    <w:rsid w:val="0080707F"/>
    <w:rsid w:val="00814C7D"/>
    <w:rsid w:val="00825A38"/>
    <w:rsid w:val="00826596"/>
    <w:rsid w:val="0083309C"/>
    <w:rsid w:val="00840399"/>
    <w:rsid w:val="00843ABF"/>
    <w:rsid w:val="0085423E"/>
    <w:rsid w:val="00855364"/>
    <w:rsid w:val="0085583F"/>
    <w:rsid w:val="008736DE"/>
    <w:rsid w:val="008749ED"/>
    <w:rsid w:val="00875B75"/>
    <w:rsid w:val="00880DF5"/>
    <w:rsid w:val="00883A1A"/>
    <w:rsid w:val="00887596"/>
    <w:rsid w:val="008A3C3D"/>
    <w:rsid w:val="008A5200"/>
    <w:rsid w:val="008C4B27"/>
    <w:rsid w:val="008D089A"/>
    <w:rsid w:val="008E4FB2"/>
    <w:rsid w:val="008F6B70"/>
    <w:rsid w:val="00904505"/>
    <w:rsid w:val="0090618C"/>
    <w:rsid w:val="00910AA2"/>
    <w:rsid w:val="00924DE9"/>
    <w:rsid w:val="009275E7"/>
    <w:rsid w:val="00935DB4"/>
    <w:rsid w:val="00941D85"/>
    <w:rsid w:val="009420BD"/>
    <w:rsid w:val="0094395D"/>
    <w:rsid w:val="00957597"/>
    <w:rsid w:val="00960B50"/>
    <w:rsid w:val="00965025"/>
    <w:rsid w:val="009652AE"/>
    <w:rsid w:val="00983A7B"/>
    <w:rsid w:val="00992364"/>
    <w:rsid w:val="00995E8E"/>
    <w:rsid w:val="009A5B89"/>
    <w:rsid w:val="009B272A"/>
    <w:rsid w:val="009B3ACB"/>
    <w:rsid w:val="009B7E5D"/>
    <w:rsid w:val="009C129C"/>
    <w:rsid w:val="009D523F"/>
    <w:rsid w:val="009E6F9F"/>
    <w:rsid w:val="009F7928"/>
    <w:rsid w:val="00A042F3"/>
    <w:rsid w:val="00A2176F"/>
    <w:rsid w:val="00A23502"/>
    <w:rsid w:val="00A25F7B"/>
    <w:rsid w:val="00A45B56"/>
    <w:rsid w:val="00A474E1"/>
    <w:rsid w:val="00A50828"/>
    <w:rsid w:val="00A53052"/>
    <w:rsid w:val="00A53790"/>
    <w:rsid w:val="00A577E6"/>
    <w:rsid w:val="00A64D5E"/>
    <w:rsid w:val="00A66598"/>
    <w:rsid w:val="00A80912"/>
    <w:rsid w:val="00A80DD5"/>
    <w:rsid w:val="00A8690D"/>
    <w:rsid w:val="00A974CC"/>
    <w:rsid w:val="00AA019B"/>
    <w:rsid w:val="00AA238B"/>
    <w:rsid w:val="00AA24D7"/>
    <w:rsid w:val="00AA4AA2"/>
    <w:rsid w:val="00AD233D"/>
    <w:rsid w:val="00AD2596"/>
    <w:rsid w:val="00AE061F"/>
    <w:rsid w:val="00AE60B6"/>
    <w:rsid w:val="00B0337F"/>
    <w:rsid w:val="00B03EE3"/>
    <w:rsid w:val="00B134E2"/>
    <w:rsid w:val="00B20EAE"/>
    <w:rsid w:val="00B226E3"/>
    <w:rsid w:val="00B34353"/>
    <w:rsid w:val="00B410F6"/>
    <w:rsid w:val="00B4420D"/>
    <w:rsid w:val="00B478E9"/>
    <w:rsid w:val="00B565F2"/>
    <w:rsid w:val="00B67C3D"/>
    <w:rsid w:val="00B812A6"/>
    <w:rsid w:val="00B81DB5"/>
    <w:rsid w:val="00B8556D"/>
    <w:rsid w:val="00B87D1E"/>
    <w:rsid w:val="00B947D6"/>
    <w:rsid w:val="00BA0BE2"/>
    <w:rsid w:val="00BA4A63"/>
    <w:rsid w:val="00BA7745"/>
    <w:rsid w:val="00BB383D"/>
    <w:rsid w:val="00BB3F79"/>
    <w:rsid w:val="00BC0DBC"/>
    <w:rsid w:val="00BD1B60"/>
    <w:rsid w:val="00BD268E"/>
    <w:rsid w:val="00BD67F3"/>
    <w:rsid w:val="00BD6C2B"/>
    <w:rsid w:val="00BE6C1D"/>
    <w:rsid w:val="00BF1D5E"/>
    <w:rsid w:val="00BF3CC0"/>
    <w:rsid w:val="00C04069"/>
    <w:rsid w:val="00C12BBA"/>
    <w:rsid w:val="00C22529"/>
    <w:rsid w:val="00C25EF3"/>
    <w:rsid w:val="00C3647B"/>
    <w:rsid w:val="00C414A1"/>
    <w:rsid w:val="00C4571B"/>
    <w:rsid w:val="00C46502"/>
    <w:rsid w:val="00C54A93"/>
    <w:rsid w:val="00C61441"/>
    <w:rsid w:val="00C64E04"/>
    <w:rsid w:val="00C668BF"/>
    <w:rsid w:val="00C70C6E"/>
    <w:rsid w:val="00C70CE9"/>
    <w:rsid w:val="00C71F53"/>
    <w:rsid w:val="00C80120"/>
    <w:rsid w:val="00C81E60"/>
    <w:rsid w:val="00C822E8"/>
    <w:rsid w:val="00C83753"/>
    <w:rsid w:val="00C85F4F"/>
    <w:rsid w:val="00C86455"/>
    <w:rsid w:val="00C9081E"/>
    <w:rsid w:val="00C93AEE"/>
    <w:rsid w:val="00C95F5A"/>
    <w:rsid w:val="00CA07B0"/>
    <w:rsid w:val="00CA22F4"/>
    <w:rsid w:val="00CB2304"/>
    <w:rsid w:val="00CB4AEB"/>
    <w:rsid w:val="00CB703A"/>
    <w:rsid w:val="00CC3DEA"/>
    <w:rsid w:val="00CC4A1F"/>
    <w:rsid w:val="00CD5FCA"/>
    <w:rsid w:val="00CE25BF"/>
    <w:rsid w:val="00CE7C49"/>
    <w:rsid w:val="00CF0D30"/>
    <w:rsid w:val="00CF658D"/>
    <w:rsid w:val="00D00251"/>
    <w:rsid w:val="00D225DC"/>
    <w:rsid w:val="00D24019"/>
    <w:rsid w:val="00D3645E"/>
    <w:rsid w:val="00D37D91"/>
    <w:rsid w:val="00D529A6"/>
    <w:rsid w:val="00D535B9"/>
    <w:rsid w:val="00D6139C"/>
    <w:rsid w:val="00D702F9"/>
    <w:rsid w:val="00D72FC1"/>
    <w:rsid w:val="00D7348B"/>
    <w:rsid w:val="00D73E85"/>
    <w:rsid w:val="00D820F3"/>
    <w:rsid w:val="00D83338"/>
    <w:rsid w:val="00D85ADA"/>
    <w:rsid w:val="00D85EBF"/>
    <w:rsid w:val="00D86559"/>
    <w:rsid w:val="00D92226"/>
    <w:rsid w:val="00DA2E93"/>
    <w:rsid w:val="00DB4C76"/>
    <w:rsid w:val="00DB59F1"/>
    <w:rsid w:val="00DC0EEE"/>
    <w:rsid w:val="00DC3340"/>
    <w:rsid w:val="00DD7F0D"/>
    <w:rsid w:val="00DE769C"/>
    <w:rsid w:val="00E05E67"/>
    <w:rsid w:val="00E06B5F"/>
    <w:rsid w:val="00E07A8A"/>
    <w:rsid w:val="00E1425C"/>
    <w:rsid w:val="00E24D2D"/>
    <w:rsid w:val="00E24FEC"/>
    <w:rsid w:val="00E326ED"/>
    <w:rsid w:val="00E40EDA"/>
    <w:rsid w:val="00E42579"/>
    <w:rsid w:val="00E50828"/>
    <w:rsid w:val="00E540B5"/>
    <w:rsid w:val="00E56165"/>
    <w:rsid w:val="00E65B61"/>
    <w:rsid w:val="00E67E42"/>
    <w:rsid w:val="00E7195D"/>
    <w:rsid w:val="00E84C02"/>
    <w:rsid w:val="00E86FB6"/>
    <w:rsid w:val="00E9124D"/>
    <w:rsid w:val="00E92C6D"/>
    <w:rsid w:val="00EA2318"/>
    <w:rsid w:val="00EA7F7C"/>
    <w:rsid w:val="00EB02D8"/>
    <w:rsid w:val="00EB0A1B"/>
    <w:rsid w:val="00EC23C3"/>
    <w:rsid w:val="00ED2423"/>
    <w:rsid w:val="00ED490C"/>
    <w:rsid w:val="00ED73E2"/>
    <w:rsid w:val="00EE33A0"/>
    <w:rsid w:val="00EE508D"/>
    <w:rsid w:val="00EE5E22"/>
    <w:rsid w:val="00EF2814"/>
    <w:rsid w:val="00EF285C"/>
    <w:rsid w:val="00EF33C4"/>
    <w:rsid w:val="00EF4AB2"/>
    <w:rsid w:val="00EF4BE5"/>
    <w:rsid w:val="00EF724E"/>
    <w:rsid w:val="00F05595"/>
    <w:rsid w:val="00F12C06"/>
    <w:rsid w:val="00F223D0"/>
    <w:rsid w:val="00F23426"/>
    <w:rsid w:val="00F24568"/>
    <w:rsid w:val="00F33BB2"/>
    <w:rsid w:val="00F33E77"/>
    <w:rsid w:val="00F3780C"/>
    <w:rsid w:val="00F4034F"/>
    <w:rsid w:val="00F41EF7"/>
    <w:rsid w:val="00F539BA"/>
    <w:rsid w:val="00F56040"/>
    <w:rsid w:val="00F6345C"/>
    <w:rsid w:val="00F662E7"/>
    <w:rsid w:val="00F82F98"/>
    <w:rsid w:val="00F84906"/>
    <w:rsid w:val="00F85F27"/>
    <w:rsid w:val="00F8689F"/>
    <w:rsid w:val="00F86E6A"/>
    <w:rsid w:val="00F87F45"/>
    <w:rsid w:val="00F92D46"/>
    <w:rsid w:val="00F97A9D"/>
    <w:rsid w:val="00FA2539"/>
    <w:rsid w:val="00FA25D9"/>
    <w:rsid w:val="00FA4693"/>
    <w:rsid w:val="00FB59F4"/>
    <w:rsid w:val="00FC21C4"/>
    <w:rsid w:val="00FC5322"/>
    <w:rsid w:val="00FD2DC2"/>
    <w:rsid w:val="00FE35E5"/>
    <w:rsid w:val="00FE4C39"/>
    <w:rsid w:val="00FE7E46"/>
    <w:rsid w:val="011065CD"/>
    <w:rsid w:val="013A47AE"/>
    <w:rsid w:val="013E1C06"/>
    <w:rsid w:val="014B7705"/>
    <w:rsid w:val="01617D3C"/>
    <w:rsid w:val="016A7063"/>
    <w:rsid w:val="016F63A5"/>
    <w:rsid w:val="01B2115C"/>
    <w:rsid w:val="01BA1D7B"/>
    <w:rsid w:val="01BC77CB"/>
    <w:rsid w:val="01C96D2D"/>
    <w:rsid w:val="01CC6E9F"/>
    <w:rsid w:val="01D63090"/>
    <w:rsid w:val="01DF1BA2"/>
    <w:rsid w:val="01E50F0D"/>
    <w:rsid w:val="01E51C57"/>
    <w:rsid w:val="01FC739B"/>
    <w:rsid w:val="01FE7990"/>
    <w:rsid w:val="0209568D"/>
    <w:rsid w:val="020F27B0"/>
    <w:rsid w:val="0227382B"/>
    <w:rsid w:val="02296B00"/>
    <w:rsid w:val="022D29A4"/>
    <w:rsid w:val="0231699B"/>
    <w:rsid w:val="0253116A"/>
    <w:rsid w:val="02664EDF"/>
    <w:rsid w:val="02826141"/>
    <w:rsid w:val="0283267B"/>
    <w:rsid w:val="02853291"/>
    <w:rsid w:val="028E4956"/>
    <w:rsid w:val="02931C1A"/>
    <w:rsid w:val="02A8260F"/>
    <w:rsid w:val="02AA0CD6"/>
    <w:rsid w:val="02AF1667"/>
    <w:rsid w:val="02B62345"/>
    <w:rsid w:val="02C3775E"/>
    <w:rsid w:val="02C57237"/>
    <w:rsid w:val="02D20497"/>
    <w:rsid w:val="02F10923"/>
    <w:rsid w:val="02FC30E2"/>
    <w:rsid w:val="03341892"/>
    <w:rsid w:val="0349085E"/>
    <w:rsid w:val="039026C4"/>
    <w:rsid w:val="039F34F6"/>
    <w:rsid w:val="03A53728"/>
    <w:rsid w:val="03B67894"/>
    <w:rsid w:val="03B92412"/>
    <w:rsid w:val="03D92099"/>
    <w:rsid w:val="03F213D5"/>
    <w:rsid w:val="03F83E70"/>
    <w:rsid w:val="03FC07E2"/>
    <w:rsid w:val="04000EE3"/>
    <w:rsid w:val="043A558D"/>
    <w:rsid w:val="0454051A"/>
    <w:rsid w:val="04573748"/>
    <w:rsid w:val="04583BEC"/>
    <w:rsid w:val="04606D85"/>
    <w:rsid w:val="046129BA"/>
    <w:rsid w:val="0462556A"/>
    <w:rsid w:val="046A3E5B"/>
    <w:rsid w:val="046B7DF5"/>
    <w:rsid w:val="04850335"/>
    <w:rsid w:val="04914FF7"/>
    <w:rsid w:val="04BA7966"/>
    <w:rsid w:val="04BF3AEF"/>
    <w:rsid w:val="04E50939"/>
    <w:rsid w:val="04EA1211"/>
    <w:rsid w:val="04F905A2"/>
    <w:rsid w:val="0517311B"/>
    <w:rsid w:val="051B7164"/>
    <w:rsid w:val="052943FD"/>
    <w:rsid w:val="052A6FCF"/>
    <w:rsid w:val="054846FB"/>
    <w:rsid w:val="05571854"/>
    <w:rsid w:val="05571EFB"/>
    <w:rsid w:val="056E09A1"/>
    <w:rsid w:val="05702030"/>
    <w:rsid w:val="057C4B82"/>
    <w:rsid w:val="05932086"/>
    <w:rsid w:val="05984350"/>
    <w:rsid w:val="059B369B"/>
    <w:rsid w:val="059E5C3F"/>
    <w:rsid w:val="05AE3E36"/>
    <w:rsid w:val="05BF7B49"/>
    <w:rsid w:val="05CA5DA1"/>
    <w:rsid w:val="05D84FBE"/>
    <w:rsid w:val="05DF2CF7"/>
    <w:rsid w:val="05E66DD9"/>
    <w:rsid w:val="061D045E"/>
    <w:rsid w:val="06205279"/>
    <w:rsid w:val="063E2A53"/>
    <w:rsid w:val="064D5129"/>
    <w:rsid w:val="06563A05"/>
    <w:rsid w:val="06682A00"/>
    <w:rsid w:val="06702951"/>
    <w:rsid w:val="06722DF2"/>
    <w:rsid w:val="068E5516"/>
    <w:rsid w:val="06901D0E"/>
    <w:rsid w:val="069C4BA1"/>
    <w:rsid w:val="06B504AF"/>
    <w:rsid w:val="06C36182"/>
    <w:rsid w:val="06C36606"/>
    <w:rsid w:val="06C737A9"/>
    <w:rsid w:val="06DD6AE6"/>
    <w:rsid w:val="06E86E03"/>
    <w:rsid w:val="06F8771E"/>
    <w:rsid w:val="06FB531D"/>
    <w:rsid w:val="07014139"/>
    <w:rsid w:val="071D17D7"/>
    <w:rsid w:val="071E2D3E"/>
    <w:rsid w:val="072A4BEE"/>
    <w:rsid w:val="072A7D67"/>
    <w:rsid w:val="073274AD"/>
    <w:rsid w:val="073F43E6"/>
    <w:rsid w:val="075B5DA6"/>
    <w:rsid w:val="075B7EFF"/>
    <w:rsid w:val="076779BD"/>
    <w:rsid w:val="077D68EB"/>
    <w:rsid w:val="07974849"/>
    <w:rsid w:val="07985C75"/>
    <w:rsid w:val="07992ED0"/>
    <w:rsid w:val="07B97234"/>
    <w:rsid w:val="07BA5554"/>
    <w:rsid w:val="07C47BCB"/>
    <w:rsid w:val="07E96606"/>
    <w:rsid w:val="07FA00CC"/>
    <w:rsid w:val="08034B66"/>
    <w:rsid w:val="08084C30"/>
    <w:rsid w:val="081F15F3"/>
    <w:rsid w:val="08246847"/>
    <w:rsid w:val="082709DC"/>
    <w:rsid w:val="08285596"/>
    <w:rsid w:val="083E4313"/>
    <w:rsid w:val="084E5222"/>
    <w:rsid w:val="08532233"/>
    <w:rsid w:val="08586256"/>
    <w:rsid w:val="08673EF9"/>
    <w:rsid w:val="088174EE"/>
    <w:rsid w:val="08B90E77"/>
    <w:rsid w:val="08BF1836"/>
    <w:rsid w:val="08C94F2B"/>
    <w:rsid w:val="08D92615"/>
    <w:rsid w:val="08DB4F5C"/>
    <w:rsid w:val="08F04070"/>
    <w:rsid w:val="08F73A81"/>
    <w:rsid w:val="090325EE"/>
    <w:rsid w:val="09175C82"/>
    <w:rsid w:val="091D12CF"/>
    <w:rsid w:val="09393C59"/>
    <w:rsid w:val="093F04BA"/>
    <w:rsid w:val="094D4224"/>
    <w:rsid w:val="094D615A"/>
    <w:rsid w:val="095B6E34"/>
    <w:rsid w:val="099024E8"/>
    <w:rsid w:val="0990783C"/>
    <w:rsid w:val="09952497"/>
    <w:rsid w:val="09A66C11"/>
    <w:rsid w:val="09B71C1F"/>
    <w:rsid w:val="0A247605"/>
    <w:rsid w:val="0A2A152F"/>
    <w:rsid w:val="0A2E5164"/>
    <w:rsid w:val="0A310FDA"/>
    <w:rsid w:val="0A412A54"/>
    <w:rsid w:val="0A4C7880"/>
    <w:rsid w:val="0A575669"/>
    <w:rsid w:val="0A627E32"/>
    <w:rsid w:val="0A8B5AEA"/>
    <w:rsid w:val="0A8F2DF3"/>
    <w:rsid w:val="0A9B1041"/>
    <w:rsid w:val="0ABA4C8A"/>
    <w:rsid w:val="0ABE495C"/>
    <w:rsid w:val="0AC969B2"/>
    <w:rsid w:val="0ACB24F8"/>
    <w:rsid w:val="0AD47FAD"/>
    <w:rsid w:val="0AD9067C"/>
    <w:rsid w:val="0ADB5B73"/>
    <w:rsid w:val="0AE0780C"/>
    <w:rsid w:val="0B0D3685"/>
    <w:rsid w:val="0B28345A"/>
    <w:rsid w:val="0B301E15"/>
    <w:rsid w:val="0B38192E"/>
    <w:rsid w:val="0B4C063F"/>
    <w:rsid w:val="0B5858A5"/>
    <w:rsid w:val="0B7361B6"/>
    <w:rsid w:val="0B7D12CB"/>
    <w:rsid w:val="0B893DFF"/>
    <w:rsid w:val="0B9656ED"/>
    <w:rsid w:val="0B9A301C"/>
    <w:rsid w:val="0B9E1FD6"/>
    <w:rsid w:val="0BA7346B"/>
    <w:rsid w:val="0BAB4DBC"/>
    <w:rsid w:val="0BAC5180"/>
    <w:rsid w:val="0BAF56A6"/>
    <w:rsid w:val="0BD76A21"/>
    <w:rsid w:val="0BE15A5A"/>
    <w:rsid w:val="0BF53A95"/>
    <w:rsid w:val="0BFA435D"/>
    <w:rsid w:val="0C1115BF"/>
    <w:rsid w:val="0C3F7689"/>
    <w:rsid w:val="0C53207F"/>
    <w:rsid w:val="0C5E0DF8"/>
    <w:rsid w:val="0C6B574C"/>
    <w:rsid w:val="0C850B85"/>
    <w:rsid w:val="0CD25AFA"/>
    <w:rsid w:val="0CDD442D"/>
    <w:rsid w:val="0CE97ADD"/>
    <w:rsid w:val="0CFE34E8"/>
    <w:rsid w:val="0CFF074C"/>
    <w:rsid w:val="0D005160"/>
    <w:rsid w:val="0D0E5F6F"/>
    <w:rsid w:val="0D0E6ECA"/>
    <w:rsid w:val="0D15160C"/>
    <w:rsid w:val="0D2457DC"/>
    <w:rsid w:val="0D4A781C"/>
    <w:rsid w:val="0D5664A1"/>
    <w:rsid w:val="0D816C3D"/>
    <w:rsid w:val="0DA2581C"/>
    <w:rsid w:val="0DA424F8"/>
    <w:rsid w:val="0DC857B1"/>
    <w:rsid w:val="0DC91E23"/>
    <w:rsid w:val="0DCB0015"/>
    <w:rsid w:val="0DDF6EAA"/>
    <w:rsid w:val="0DEA5E03"/>
    <w:rsid w:val="0DF75773"/>
    <w:rsid w:val="0DF82DD2"/>
    <w:rsid w:val="0DFB1385"/>
    <w:rsid w:val="0E0A6B02"/>
    <w:rsid w:val="0E1F7E39"/>
    <w:rsid w:val="0E236A3E"/>
    <w:rsid w:val="0E2A4834"/>
    <w:rsid w:val="0E364E11"/>
    <w:rsid w:val="0E383970"/>
    <w:rsid w:val="0E7901F1"/>
    <w:rsid w:val="0E7D4429"/>
    <w:rsid w:val="0E7D6699"/>
    <w:rsid w:val="0E887F2F"/>
    <w:rsid w:val="0EA83466"/>
    <w:rsid w:val="0EB30F7B"/>
    <w:rsid w:val="0EB547DC"/>
    <w:rsid w:val="0ECF1BA6"/>
    <w:rsid w:val="0ED65640"/>
    <w:rsid w:val="0EE5132C"/>
    <w:rsid w:val="0F160B46"/>
    <w:rsid w:val="0F207CF5"/>
    <w:rsid w:val="0F436464"/>
    <w:rsid w:val="0F477A1C"/>
    <w:rsid w:val="0F5915EE"/>
    <w:rsid w:val="0F65280B"/>
    <w:rsid w:val="0F6E4136"/>
    <w:rsid w:val="0F722CEF"/>
    <w:rsid w:val="0F973886"/>
    <w:rsid w:val="0F995D29"/>
    <w:rsid w:val="0FA17AC4"/>
    <w:rsid w:val="0FAF4917"/>
    <w:rsid w:val="0FC058C2"/>
    <w:rsid w:val="0FD75D8A"/>
    <w:rsid w:val="0FE40A20"/>
    <w:rsid w:val="0FE87FFD"/>
    <w:rsid w:val="0FEA3D43"/>
    <w:rsid w:val="0FF15958"/>
    <w:rsid w:val="0FF31054"/>
    <w:rsid w:val="100B2C50"/>
    <w:rsid w:val="10110368"/>
    <w:rsid w:val="10257D6A"/>
    <w:rsid w:val="102E027C"/>
    <w:rsid w:val="102E74AC"/>
    <w:rsid w:val="102F02FE"/>
    <w:rsid w:val="10315612"/>
    <w:rsid w:val="10346D7D"/>
    <w:rsid w:val="105102CB"/>
    <w:rsid w:val="105337CF"/>
    <w:rsid w:val="105B2F15"/>
    <w:rsid w:val="10693755"/>
    <w:rsid w:val="106E4005"/>
    <w:rsid w:val="108D7C2C"/>
    <w:rsid w:val="10A17C98"/>
    <w:rsid w:val="10A36334"/>
    <w:rsid w:val="10AF00E3"/>
    <w:rsid w:val="10B24F1E"/>
    <w:rsid w:val="10C35CFA"/>
    <w:rsid w:val="10DF4A1A"/>
    <w:rsid w:val="10E20CDA"/>
    <w:rsid w:val="10F66549"/>
    <w:rsid w:val="110A1095"/>
    <w:rsid w:val="111F0251"/>
    <w:rsid w:val="113240F2"/>
    <w:rsid w:val="113C6F1E"/>
    <w:rsid w:val="115225F0"/>
    <w:rsid w:val="1167418E"/>
    <w:rsid w:val="11746277"/>
    <w:rsid w:val="119115F2"/>
    <w:rsid w:val="11935087"/>
    <w:rsid w:val="119F42D0"/>
    <w:rsid w:val="11AB70EF"/>
    <w:rsid w:val="11AF1599"/>
    <w:rsid w:val="11AF3D3D"/>
    <w:rsid w:val="11BA4856"/>
    <w:rsid w:val="11BA4A58"/>
    <w:rsid w:val="11D4622B"/>
    <w:rsid w:val="11DE2EEA"/>
    <w:rsid w:val="11EF5B72"/>
    <w:rsid w:val="1210050D"/>
    <w:rsid w:val="121970FD"/>
    <w:rsid w:val="12373C1E"/>
    <w:rsid w:val="123770B5"/>
    <w:rsid w:val="123C4109"/>
    <w:rsid w:val="12635A53"/>
    <w:rsid w:val="128C260C"/>
    <w:rsid w:val="128C705C"/>
    <w:rsid w:val="12946DC7"/>
    <w:rsid w:val="12AC28E8"/>
    <w:rsid w:val="12C92C9E"/>
    <w:rsid w:val="12DB6C70"/>
    <w:rsid w:val="12E01769"/>
    <w:rsid w:val="12EB6452"/>
    <w:rsid w:val="12F52210"/>
    <w:rsid w:val="12F709EC"/>
    <w:rsid w:val="130810F5"/>
    <w:rsid w:val="130E4FEB"/>
    <w:rsid w:val="13353E03"/>
    <w:rsid w:val="136310CF"/>
    <w:rsid w:val="137B2A9E"/>
    <w:rsid w:val="137D7984"/>
    <w:rsid w:val="13956CA4"/>
    <w:rsid w:val="13997D03"/>
    <w:rsid w:val="139C7563"/>
    <w:rsid w:val="13A144FD"/>
    <w:rsid w:val="13BD5795"/>
    <w:rsid w:val="13D26900"/>
    <w:rsid w:val="13DC35CC"/>
    <w:rsid w:val="13E661D0"/>
    <w:rsid w:val="13EB0A7F"/>
    <w:rsid w:val="13EE01A2"/>
    <w:rsid w:val="13EE0F9C"/>
    <w:rsid w:val="13EE2958"/>
    <w:rsid w:val="13FB1FE5"/>
    <w:rsid w:val="140445D1"/>
    <w:rsid w:val="14170D4E"/>
    <w:rsid w:val="14244083"/>
    <w:rsid w:val="14355371"/>
    <w:rsid w:val="143E7FCD"/>
    <w:rsid w:val="14416E12"/>
    <w:rsid w:val="14490F8D"/>
    <w:rsid w:val="146B2FF1"/>
    <w:rsid w:val="14942286"/>
    <w:rsid w:val="14946ADE"/>
    <w:rsid w:val="14A77A1E"/>
    <w:rsid w:val="14AC36B2"/>
    <w:rsid w:val="14BC5799"/>
    <w:rsid w:val="14C31AC5"/>
    <w:rsid w:val="14C71BF5"/>
    <w:rsid w:val="14C81A3D"/>
    <w:rsid w:val="14D6379C"/>
    <w:rsid w:val="14D65C8C"/>
    <w:rsid w:val="14F317A6"/>
    <w:rsid w:val="14FE063E"/>
    <w:rsid w:val="15260FA2"/>
    <w:rsid w:val="153957D6"/>
    <w:rsid w:val="153C41E7"/>
    <w:rsid w:val="153C77BD"/>
    <w:rsid w:val="154D5014"/>
    <w:rsid w:val="155005A2"/>
    <w:rsid w:val="15586513"/>
    <w:rsid w:val="15624316"/>
    <w:rsid w:val="15695585"/>
    <w:rsid w:val="158D37F6"/>
    <w:rsid w:val="1591204B"/>
    <w:rsid w:val="15A166B5"/>
    <w:rsid w:val="15AB34B3"/>
    <w:rsid w:val="15F67C70"/>
    <w:rsid w:val="1627583B"/>
    <w:rsid w:val="167174A3"/>
    <w:rsid w:val="16897955"/>
    <w:rsid w:val="16921E5E"/>
    <w:rsid w:val="16B0044C"/>
    <w:rsid w:val="16B63827"/>
    <w:rsid w:val="16D61D0D"/>
    <w:rsid w:val="16D70CAA"/>
    <w:rsid w:val="16DF78FC"/>
    <w:rsid w:val="16F478DC"/>
    <w:rsid w:val="172065C6"/>
    <w:rsid w:val="172472EC"/>
    <w:rsid w:val="176931DB"/>
    <w:rsid w:val="1779463E"/>
    <w:rsid w:val="17B932D3"/>
    <w:rsid w:val="17BA3923"/>
    <w:rsid w:val="17CD7345"/>
    <w:rsid w:val="17D10031"/>
    <w:rsid w:val="17D36A0F"/>
    <w:rsid w:val="17D43D08"/>
    <w:rsid w:val="17D51499"/>
    <w:rsid w:val="17E17BB1"/>
    <w:rsid w:val="17EE33E0"/>
    <w:rsid w:val="17FA14A3"/>
    <w:rsid w:val="180C19A3"/>
    <w:rsid w:val="18327902"/>
    <w:rsid w:val="18403279"/>
    <w:rsid w:val="18421877"/>
    <w:rsid w:val="18445D42"/>
    <w:rsid w:val="184C28E2"/>
    <w:rsid w:val="18556659"/>
    <w:rsid w:val="18607423"/>
    <w:rsid w:val="18643653"/>
    <w:rsid w:val="186F351C"/>
    <w:rsid w:val="18970A7A"/>
    <w:rsid w:val="18A74956"/>
    <w:rsid w:val="18A75D88"/>
    <w:rsid w:val="18DF7AF2"/>
    <w:rsid w:val="18FA42B0"/>
    <w:rsid w:val="1909318E"/>
    <w:rsid w:val="19243044"/>
    <w:rsid w:val="192D3FD4"/>
    <w:rsid w:val="192D673B"/>
    <w:rsid w:val="194463A8"/>
    <w:rsid w:val="19503EAD"/>
    <w:rsid w:val="195E310F"/>
    <w:rsid w:val="197D0322"/>
    <w:rsid w:val="198F6973"/>
    <w:rsid w:val="1993151E"/>
    <w:rsid w:val="19A12931"/>
    <w:rsid w:val="19A83252"/>
    <w:rsid w:val="19BC27AB"/>
    <w:rsid w:val="19DF62EC"/>
    <w:rsid w:val="19ED1DC3"/>
    <w:rsid w:val="19F3103E"/>
    <w:rsid w:val="19F32E05"/>
    <w:rsid w:val="19FE44FE"/>
    <w:rsid w:val="1A1004E8"/>
    <w:rsid w:val="1A121B39"/>
    <w:rsid w:val="1A150DE6"/>
    <w:rsid w:val="1A1A5AB1"/>
    <w:rsid w:val="1A2749AB"/>
    <w:rsid w:val="1A2C5E77"/>
    <w:rsid w:val="1A3433C0"/>
    <w:rsid w:val="1A444995"/>
    <w:rsid w:val="1A494D6C"/>
    <w:rsid w:val="1A4F0ACB"/>
    <w:rsid w:val="1A4F1131"/>
    <w:rsid w:val="1A5725B1"/>
    <w:rsid w:val="1A5B6A79"/>
    <w:rsid w:val="1A7B2555"/>
    <w:rsid w:val="1A8962C8"/>
    <w:rsid w:val="1A934F07"/>
    <w:rsid w:val="1A965758"/>
    <w:rsid w:val="1AB84FAE"/>
    <w:rsid w:val="1AC200AE"/>
    <w:rsid w:val="1AC91048"/>
    <w:rsid w:val="1AD35918"/>
    <w:rsid w:val="1AE51273"/>
    <w:rsid w:val="1AE62003"/>
    <w:rsid w:val="1AE9749D"/>
    <w:rsid w:val="1AF01318"/>
    <w:rsid w:val="1AF243DD"/>
    <w:rsid w:val="1B071E86"/>
    <w:rsid w:val="1B102672"/>
    <w:rsid w:val="1B11514E"/>
    <w:rsid w:val="1B1D2BCE"/>
    <w:rsid w:val="1B230D53"/>
    <w:rsid w:val="1B250212"/>
    <w:rsid w:val="1B3259F8"/>
    <w:rsid w:val="1B3A4D9E"/>
    <w:rsid w:val="1B484A3E"/>
    <w:rsid w:val="1B49456E"/>
    <w:rsid w:val="1B5B2DF6"/>
    <w:rsid w:val="1B635BBC"/>
    <w:rsid w:val="1B944F8A"/>
    <w:rsid w:val="1B9D1B25"/>
    <w:rsid w:val="1B9E64AB"/>
    <w:rsid w:val="1BA6701B"/>
    <w:rsid w:val="1BAA71C1"/>
    <w:rsid w:val="1BBB7FE3"/>
    <w:rsid w:val="1BC371EC"/>
    <w:rsid w:val="1BD107B6"/>
    <w:rsid w:val="1BD35D1E"/>
    <w:rsid w:val="1BD43948"/>
    <w:rsid w:val="1BDE01C1"/>
    <w:rsid w:val="1BDF7266"/>
    <w:rsid w:val="1BFD51C0"/>
    <w:rsid w:val="1C022A1B"/>
    <w:rsid w:val="1C16002F"/>
    <w:rsid w:val="1C1F09A7"/>
    <w:rsid w:val="1C22105F"/>
    <w:rsid w:val="1C256156"/>
    <w:rsid w:val="1C3C5C4A"/>
    <w:rsid w:val="1C490A59"/>
    <w:rsid w:val="1C634D98"/>
    <w:rsid w:val="1C9B7E2F"/>
    <w:rsid w:val="1CBC2142"/>
    <w:rsid w:val="1CBD65B8"/>
    <w:rsid w:val="1CC26B08"/>
    <w:rsid w:val="1CCE2121"/>
    <w:rsid w:val="1CE331E2"/>
    <w:rsid w:val="1CEC1BA1"/>
    <w:rsid w:val="1CF40A71"/>
    <w:rsid w:val="1CF5479A"/>
    <w:rsid w:val="1CF62916"/>
    <w:rsid w:val="1D226FBE"/>
    <w:rsid w:val="1D3162F2"/>
    <w:rsid w:val="1D333447"/>
    <w:rsid w:val="1D415556"/>
    <w:rsid w:val="1D4B6007"/>
    <w:rsid w:val="1D5C5A5C"/>
    <w:rsid w:val="1D6F5A3B"/>
    <w:rsid w:val="1D7D6EDC"/>
    <w:rsid w:val="1D811BD2"/>
    <w:rsid w:val="1D811EEC"/>
    <w:rsid w:val="1DAF24EA"/>
    <w:rsid w:val="1DB646D1"/>
    <w:rsid w:val="1DB7545D"/>
    <w:rsid w:val="1DBF4B88"/>
    <w:rsid w:val="1DE21613"/>
    <w:rsid w:val="1E250A39"/>
    <w:rsid w:val="1E4B42AA"/>
    <w:rsid w:val="1E6E010B"/>
    <w:rsid w:val="1E70525F"/>
    <w:rsid w:val="1E7426AA"/>
    <w:rsid w:val="1E7A2A72"/>
    <w:rsid w:val="1E811F83"/>
    <w:rsid w:val="1E820093"/>
    <w:rsid w:val="1E8663C5"/>
    <w:rsid w:val="1E897F23"/>
    <w:rsid w:val="1EA61054"/>
    <w:rsid w:val="1EAA1A65"/>
    <w:rsid w:val="1EBC383B"/>
    <w:rsid w:val="1ED961EB"/>
    <w:rsid w:val="1EDC73CF"/>
    <w:rsid w:val="1EE11A5B"/>
    <w:rsid w:val="1EF34658"/>
    <w:rsid w:val="1F062E02"/>
    <w:rsid w:val="1F0E22E2"/>
    <w:rsid w:val="1F0F7290"/>
    <w:rsid w:val="1F142FF9"/>
    <w:rsid w:val="1F2A72A4"/>
    <w:rsid w:val="1F3829F5"/>
    <w:rsid w:val="1F4A7FB5"/>
    <w:rsid w:val="1F4D1FBA"/>
    <w:rsid w:val="1F637DE3"/>
    <w:rsid w:val="1F75588E"/>
    <w:rsid w:val="1FC54F08"/>
    <w:rsid w:val="1FCC427B"/>
    <w:rsid w:val="1FE44B49"/>
    <w:rsid w:val="1FF32A02"/>
    <w:rsid w:val="20050B6F"/>
    <w:rsid w:val="200B3580"/>
    <w:rsid w:val="20174982"/>
    <w:rsid w:val="20333595"/>
    <w:rsid w:val="20346F65"/>
    <w:rsid w:val="20350095"/>
    <w:rsid w:val="203D5806"/>
    <w:rsid w:val="204851D3"/>
    <w:rsid w:val="205D327F"/>
    <w:rsid w:val="20653E25"/>
    <w:rsid w:val="20664D1F"/>
    <w:rsid w:val="20681953"/>
    <w:rsid w:val="206A33DB"/>
    <w:rsid w:val="20856FB6"/>
    <w:rsid w:val="208C711E"/>
    <w:rsid w:val="209B0D4D"/>
    <w:rsid w:val="20A64B84"/>
    <w:rsid w:val="20A86223"/>
    <w:rsid w:val="20AE526A"/>
    <w:rsid w:val="20C43859"/>
    <w:rsid w:val="20D74E83"/>
    <w:rsid w:val="20E943F8"/>
    <w:rsid w:val="20F52EA9"/>
    <w:rsid w:val="21254D33"/>
    <w:rsid w:val="213F7849"/>
    <w:rsid w:val="2141512F"/>
    <w:rsid w:val="21424F66"/>
    <w:rsid w:val="21464F41"/>
    <w:rsid w:val="214A32DB"/>
    <w:rsid w:val="21B76E62"/>
    <w:rsid w:val="21BD7E26"/>
    <w:rsid w:val="21C81FA0"/>
    <w:rsid w:val="21DF46EF"/>
    <w:rsid w:val="21E64909"/>
    <w:rsid w:val="21E66230"/>
    <w:rsid w:val="221227EE"/>
    <w:rsid w:val="2216603D"/>
    <w:rsid w:val="22230DB0"/>
    <w:rsid w:val="22277FB5"/>
    <w:rsid w:val="22280ABD"/>
    <w:rsid w:val="222C5E29"/>
    <w:rsid w:val="223F0BDB"/>
    <w:rsid w:val="2244716E"/>
    <w:rsid w:val="224A14E9"/>
    <w:rsid w:val="225F2D97"/>
    <w:rsid w:val="226961AD"/>
    <w:rsid w:val="226E3D3B"/>
    <w:rsid w:val="226F38BC"/>
    <w:rsid w:val="227C7BB4"/>
    <w:rsid w:val="228D002F"/>
    <w:rsid w:val="229514A7"/>
    <w:rsid w:val="229947BB"/>
    <w:rsid w:val="229E2F57"/>
    <w:rsid w:val="22B81CE7"/>
    <w:rsid w:val="22BB2B66"/>
    <w:rsid w:val="22D54F0F"/>
    <w:rsid w:val="22DE1C32"/>
    <w:rsid w:val="22E01B7B"/>
    <w:rsid w:val="22FC2F06"/>
    <w:rsid w:val="2308003A"/>
    <w:rsid w:val="230E3095"/>
    <w:rsid w:val="230F2555"/>
    <w:rsid w:val="23305243"/>
    <w:rsid w:val="23307D9E"/>
    <w:rsid w:val="23530D8B"/>
    <w:rsid w:val="2365000B"/>
    <w:rsid w:val="236A7E4F"/>
    <w:rsid w:val="23A4125E"/>
    <w:rsid w:val="23A83D2A"/>
    <w:rsid w:val="23BA0344"/>
    <w:rsid w:val="23D0100E"/>
    <w:rsid w:val="23E1679D"/>
    <w:rsid w:val="23EF1892"/>
    <w:rsid w:val="23F27773"/>
    <w:rsid w:val="24106638"/>
    <w:rsid w:val="24144B56"/>
    <w:rsid w:val="24187474"/>
    <w:rsid w:val="24257DA4"/>
    <w:rsid w:val="244C5B74"/>
    <w:rsid w:val="244F44A7"/>
    <w:rsid w:val="245B5049"/>
    <w:rsid w:val="24656A17"/>
    <w:rsid w:val="24677523"/>
    <w:rsid w:val="24693559"/>
    <w:rsid w:val="246F377B"/>
    <w:rsid w:val="247367E4"/>
    <w:rsid w:val="247602A8"/>
    <w:rsid w:val="249143A6"/>
    <w:rsid w:val="249D10AB"/>
    <w:rsid w:val="24AB590A"/>
    <w:rsid w:val="24B47D05"/>
    <w:rsid w:val="24DB5604"/>
    <w:rsid w:val="250432C4"/>
    <w:rsid w:val="25127F9B"/>
    <w:rsid w:val="25461BE4"/>
    <w:rsid w:val="254B7DEA"/>
    <w:rsid w:val="255C2E24"/>
    <w:rsid w:val="258507E0"/>
    <w:rsid w:val="25B456A3"/>
    <w:rsid w:val="25B73517"/>
    <w:rsid w:val="25C362FB"/>
    <w:rsid w:val="25D9690F"/>
    <w:rsid w:val="25E8304E"/>
    <w:rsid w:val="25EA2404"/>
    <w:rsid w:val="25EC234B"/>
    <w:rsid w:val="25EE25BD"/>
    <w:rsid w:val="25EE5514"/>
    <w:rsid w:val="25FA47A4"/>
    <w:rsid w:val="25FA59DA"/>
    <w:rsid w:val="261232BA"/>
    <w:rsid w:val="26124434"/>
    <w:rsid w:val="26225E5C"/>
    <w:rsid w:val="263A491A"/>
    <w:rsid w:val="26406903"/>
    <w:rsid w:val="264B3292"/>
    <w:rsid w:val="265605D1"/>
    <w:rsid w:val="265D3563"/>
    <w:rsid w:val="2678735C"/>
    <w:rsid w:val="26801D73"/>
    <w:rsid w:val="26A96C74"/>
    <w:rsid w:val="26B901CA"/>
    <w:rsid w:val="26BB271E"/>
    <w:rsid w:val="26D15002"/>
    <w:rsid w:val="26D66694"/>
    <w:rsid w:val="26FA5A53"/>
    <w:rsid w:val="26FC74F0"/>
    <w:rsid w:val="270A6B05"/>
    <w:rsid w:val="270E57D3"/>
    <w:rsid w:val="27233558"/>
    <w:rsid w:val="272B3CE5"/>
    <w:rsid w:val="273B4693"/>
    <w:rsid w:val="275115EE"/>
    <w:rsid w:val="27796E4C"/>
    <w:rsid w:val="27810036"/>
    <w:rsid w:val="279D1046"/>
    <w:rsid w:val="27A542D5"/>
    <w:rsid w:val="27A57661"/>
    <w:rsid w:val="27A80FDE"/>
    <w:rsid w:val="27BA0E27"/>
    <w:rsid w:val="27C300B6"/>
    <w:rsid w:val="27C35324"/>
    <w:rsid w:val="27C94D75"/>
    <w:rsid w:val="27F03975"/>
    <w:rsid w:val="281A2C55"/>
    <w:rsid w:val="28223970"/>
    <w:rsid w:val="28264E51"/>
    <w:rsid w:val="284E4C6D"/>
    <w:rsid w:val="286715F4"/>
    <w:rsid w:val="286B3CB0"/>
    <w:rsid w:val="28703366"/>
    <w:rsid w:val="287B3331"/>
    <w:rsid w:val="28997F7B"/>
    <w:rsid w:val="289E1160"/>
    <w:rsid w:val="28B8241C"/>
    <w:rsid w:val="28B95B86"/>
    <w:rsid w:val="28BB4951"/>
    <w:rsid w:val="28C077FE"/>
    <w:rsid w:val="28C31645"/>
    <w:rsid w:val="28D148D1"/>
    <w:rsid w:val="28D22EB5"/>
    <w:rsid w:val="290C10B1"/>
    <w:rsid w:val="290C53BA"/>
    <w:rsid w:val="2929170D"/>
    <w:rsid w:val="29341DA3"/>
    <w:rsid w:val="29557BF7"/>
    <w:rsid w:val="295C6101"/>
    <w:rsid w:val="296956AD"/>
    <w:rsid w:val="29780D5F"/>
    <w:rsid w:val="298266F7"/>
    <w:rsid w:val="29867B6A"/>
    <w:rsid w:val="29B16A2D"/>
    <w:rsid w:val="29B218C7"/>
    <w:rsid w:val="29B35004"/>
    <w:rsid w:val="29BB7DBD"/>
    <w:rsid w:val="29CE4339"/>
    <w:rsid w:val="29D6252E"/>
    <w:rsid w:val="29DB6B55"/>
    <w:rsid w:val="29FD3079"/>
    <w:rsid w:val="2A082768"/>
    <w:rsid w:val="2A1E7895"/>
    <w:rsid w:val="2A2A7AD6"/>
    <w:rsid w:val="2A3E0B1F"/>
    <w:rsid w:val="2A4604F0"/>
    <w:rsid w:val="2A49212A"/>
    <w:rsid w:val="2A535EF2"/>
    <w:rsid w:val="2A6C15A8"/>
    <w:rsid w:val="2A8B6F05"/>
    <w:rsid w:val="2ACB3D3F"/>
    <w:rsid w:val="2ADA6DE0"/>
    <w:rsid w:val="2AEC1473"/>
    <w:rsid w:val="2B0E528A"/>
    <w:rsid w:val="2B1B3AFD"/>
    <w:rsid w:val="2B1B7DE7"/>
    <w:rsid w:val="2B1C4BEF"/>
    <w:rsid w:val="2B30076F"/>
    <w:rsid w:val="2B481A56"/>
    <w:rsid w:val="2B52326B"/>
    <w:rsid w:val="2B5A215F"/>
    <w:rsid w:val="2B701207"/>
    <w:rsid w:val="2B7B4A11"/>
    <w:rsid w:val="2B80767F"/>
    <w:rsid w:val="2B924E5F"/>
    <w:rsid w:val="2B97666E"/>
    <w:rsid w:val="2BA053C6"/>
    <w:rsid w:val="2BB53EE8"/>
    <w:rsid w:val="2BD5603C"/>
    <w:rsid w:val="2BD73D1D"/>
    <w:rsid w:val="2BDC6486"/>
    <w:rsid w:val="2BEA5A0C"/>
    <w:rsid w:val="2BED667B"/>
    <w:rsid w:val="2BFA6077"/>
    <w:rsid w:val="2BFD0157"/>
    <w:rsid w:val="2BFD3E0A"/>
    <w:rsid w:val="2C106F78"/>
    <w:rsid w:val="2C3E393A"/>
    <w:rsid w:val="2C5545DB"/>
    <w:rsid w:val="2C616693"/>
    <w:rsid w:val="2C631283"/>
    <w:rsid w:val="2C6B2730"/>
    <w:rsid w:val="2C700266"/>
    <w:rsid w:val="2C7822B0"/>
    <w:rsid w:val="2C7D6A6A"/>
    <w:rsid w:val="2C8106FE"/>
    <w:rsid w:val="2CA33CFF"/>
    <w:rsid w:val="2CA9197D"/>
    <w:rsid w:val="2CAA6B57"/>
    <w:rsid w:val="2CB67465"/>
    <w:rsid w:val="2CB731BB"/>
    <w:rsid w:val="2CCF0ADE"/>
    <w:rsid w:val="2CD21B17"/>
    <w:rsid w:val="2CDA27E7"/>
    <w:rsid w:val="2CE2245C"/>
    <w:rsid w:val="2CF0221C"/>
    <w:rsid w:val="2D07072A"/>
    <w:rsid w:val="2D0A4B69"/>
    <w:rsid w:val="2D205F42"/>
    <w:rsid w:val="2D2D629A"/>
    <w:rsid w:val="2D37037A"/>
    <w:rsid w:val="2D47161E"/>
    <w:rsid w:val="2D4F0210"/>
    <w:rsid w:val="2D5D1775"/>
    <w:rsid w:val="2D5E6E47"/>
    <w:rsid w:val="2D620B60"/>
    <w:rsid w:val="2D6F7DD3"/>
    <w:rsid w:val="2D7066A4"/>
    <w:rsid w:val="2D865FF5"/>
    <w:rsid w:val="2D942151"/>
    <w:rsid w:val="2D9C61CE"/>
    <w:rsid w:val="2DA35D5F"/>
    <w:rsid w:val="2DA84541"/>
    <w:rsid w:val="2DAF63EA"/>
    <w:rsid w:val="2DB74FD2"/>
    <w:rsid w:val="2DBE442A"/>
    <w:rsid w:val="2DD93FD5"/>
    <w:rsid w:val="2DDC3C12"/>
    <w:rsid w:val="2DE937C5"/>
    <w:rsid w:val="2DFF1E21"/>
    <w:rsid w:val="2E1847CB"/>
    <w:rsid w:val="2E246459"/>
    <w:rsid w:val="2E3A7421"/>
    <w:rsid w:val="2E5D4E0E"/>
    <w:rsid w:val="2E8D2A37"/>
    <w:rsid w:val="2E9F2D17"/>
    <w:rsid w:val="2EB4329F"/>
    <w:rsid w:val="2EBF6305"/>
    <w:rsid w:val="2EC641B5"/>
    <w:rsid w:val="2EDF481A"/>
    <w:rsid w:val="2F0E23B3"/>
    <w:rsid w:val="2F100690"/>
    <w:rsid w:val="2F131214"/>
    <w:rsid w:val="2F1663C7"/>
    <w:rsid w:val="2F1B602B"/>
    <w:rsid w:val="2F2A7C5E"/>
    <w:rsid w:val="2F3F5CE6"/>
    <w:rsid w:val="2F5B5440"/>
    <w:rsid w:val="2F663E17"/>
    <w:rsid w:val="2F6F7151"/>
    <w:rsid w:val="2F757CBF"/>
    <w:rsid w:val="2F8F217B"/>
    <w:rsid w:val="2FA5702D"/>
    <w:rsid w:val="2FB67BE4"/>
    <w:rsid w:val="2FC73100"/>
    <w:rsid w:val="2FE15EA8"/>
    <w:rsid w:val="2FFA61C5"/>
    <w:rsid w:val="30067FA0"/>
    <w:rsid w:val="30153B9D"/>
    <w:rsid w:val="301A6485"/>
    <w:rsid w:val="302C1662"/>
    <w:rsid w:val="3033482D"/>
    <w:rsid w:val="303A3FF0"/>
    <w:rsid w:val="304F7802"/>
    <w:rsid w:val="30547FB7"/>
    <w:rsid w:val="307361A2"/>
    <w:rsid w:val="307E75E6"/>
    <w:rsid w:val="308E13F8"/>
    <w:rsid w:val="309C5571"/>
    <w:rsid w:val="309D4C8B"/>
    <w:rsid w:val="30A339E4"/>
    <w:rsid w:val="30DA3B1D"/>
    <w:rsid w:val="30DE5027"/>
    <w:rsid w:val="30DF27E8"/>
    <w:rsid w:val="30E16D83"/>
    <w:rsid w:val="30E42DF2"/>
    <w:rsid w:val="30F1651D"/>
    <w:rsid w:val="310C3B61"/>
    <w:rsid w:val="311961A0"/>
    <w:rsid w:val="312E28B5"/>
    <w:rsid w:val="313354B0"/>
    <w:rsid w:val="31354FA7"/>
    <w:rsid w:val="3137650B"/>
    <w:rsid w:val="316F1672"/>
    <w:rsid w:val="31755A21"/>
    <w:rsid w:val="318E7541"/>
    <w:rsid w:val="319E4C35"/>
    <w:rsid w:val="31AF01B6"/>
    <w:rsid w:val="31BE672E"/>
    <w:rsid w:val="31C52232"/>
    <w:rsid w:val="31D2665A"/>
    <w:rsid w:val="31DA0CF2"/>
    <w:rsid w:val="31EE1B53"/>
    <w:rsid w:val="31F91335"/>
    <w:rsid w:val="320F6532"/>
    <w:rsid w:val="32153221"/>
    <w:rsid w:val="321C5B15"/>
    <w:rsid w:val="321D100F"/>
    <w:rsid w:val="321D29F6"/>
    <w:rsid w:val="32260CE4"/>
    <w:rsid w:val="32304534"/>
    <w:rsid w:val="323B12CA"/>
    <w:rsid w:val="323E688A"/>
    <w:rsid w:val="32404FA8"/>
    <w:rsid w:val="3243667B"/>
    <w:rsid w:val="32440D3B"/>
    <w:rsid w:val="325751A2"/>
    <w:rsid w:val="3258632C"/>
    <w:rsid w:val="32685DAF"/>
    <w:rsid w:val="328A04D6"/>
    <w:rsid w:val="32930ED7"/>
    <w:rsid w:val="329B5D4A"/>
    <w:rsid w:val="32AA7505"/>
    <w:rsid w:val="32B32DDD"/>
    <w:rsid w:val="32C626B0"/>
    <w:rsid w:val="32F808BE"/>
    <w:rsid w:val="33151323"/>
    <w:rsid w:val="335316B2"/>
    <w:rsid w:val="336750C1"/>
    <w:rsid w:val="336B3ADE"/>
    <w:rsid w:val="337706D1"/>
    <w:rsid w:val="33A05993"/>
    <w:rsid w:val="33B92155"/>
    <w:rsid w:val="33C47BD8"/>
    <w:rsid w:val="33D64CAB"/>
    <w:rsid w:val="33E60499"/>
    <w:rsid w:val="341227D3"/>
    <w:rsid w:val="341D4E95"/>
    <w:rsid w:val="342B314D"/>
    <w:rsid w:val="342F68DA"/>
    <w:rsid w:val="34337AC3"/>
    <w:rsid w:val="34337F0E"/>
    <w:rsid w:val="343540C4"/>
    <w:rsid w:val="343A3809"/>
    <w:rsid w:val="34604811"/>
    <w:rsid w:val="347273DF"/>
    <w:rsid w:val="347C774B"/>
    <w:rsid w:val="347F19BA"/>
    <w:rsid w:val="348028A3"/>
    <w:rsid w:val="34865C6A"/>
    <w:rsid w:val="348978AA"/>
    <w:rsid w:val="348A5182"/>
    <w:rsid w:val="34A434EF"/>
    <w:rsid w:val="34C4639C"/>
    <w:rsid w:val="34CB2233"/>
    <w:rsid w:val="34CE518F"/>
    <w:rsid w:val="34DE3E97"/>
    <w:rsid w:val="34EF3539"/>
    <w:rsid w:val="35126E3F"/>
    <w:rsid w:val="35290D6C"/>
    <w:rsid w:val="353B7805"/>
    <w:rsid w:val="353D646E"/>
    <w:rsid w:val="353F58D4"/>
    <w:rsid w:val="354B0749"/>
    <w:rsid w:val="358C12AD"/>
    <w:rsid w:val="3593554A"/>
    <w:rsid w:val="359573C3"/>
    <w:rsid w:val="35996368"/>
    <w:rsid w:val="35A8468E"/>
    <w:rsid w:val="35AE518B"/>
    <w:rsid w:val="35B231F9"/>
    <w:rsid w:val="35E03563"/>
    <w:rsid w:val="35E46458"/>
    <w:rsid w:val="35EE7233"/>
    <w:rsid w:val="35F24D7A"/>
    <w:rsid w:val="35F31D41"/>
    <w:rsid w:val="35F47407"/>
    <w:rsid w:val="36165EEC"/>
    <w:rsid w:val="36221877"/>
    <w:rsid w:val="36225E34"/>
    <w:rsid w:val="36423E5E"/>
    <w:rsid w:val="365A7AC4"/>
    <w:rsid w:val="366B4424"/>
    <w:rsid w:val="36715466"/>
    <w:rsid w:val="36750205"/>
    <w:rsid w:val="36782C05"/>
    <w:rsid w:val="369456DD"/>
    <w:rsid w:val="36CB5F68"/>
    <w:rsid w:val="36D60163"/>
    <w:rsid w:val="36D65E01"/>
    <w:rsid w:val="36E15D64"/>
    <w:rsid w:val="36E60E7B"/>
    <w:rsid w:val="37016B29"/>
    <w:rsid w:val="370E493A"/>
    <w:rsid w:val="373127E8"/>
    <w:rsid w:val="37402B33"/>
    <w:rsid w:val="37416D88"/>
    <w:rsid w:val="375900B0"/>
    <w:rsid w:val="37680910"/>
    <w:rsid w:val="3769656A"/>
    <w:rsid w:val="3783789B"/>
    <w:rsid w:val="378B7500"/>
    <w:rsid w:val="37E23EAE"/>
    <w:rsid w:val="37F346C3"/>
    <w:rsid w:val="38047E98"/>
    <w:rsid w:val="3808310B"/>
    <w:rsid w:val="38161E2F"/>
    <w:rsid w:val="381828F9"/>
    <w:rsid w:val="381A1C16"/>
    <w:rsid w:val="38303F11"/>
    <w:rsid w:val="384B7582"/>
    <w:rsid w:val="385023A4"/>
    <w:rsid w:val="386254E2"/>
    <w:rsid w:val="3874414F"/>
    <w:rsid w:val="38815E4F"/>
    <w:rsid w:val="38842730"/>
    <w:rsid w:val="38A05206"/>
    <w:rsid w:val="38AE2389"/>
    <w:rsid w:val="38C24711"/>
    <w:rsid w:val="38CE5F1F"/>
    <w:rsid w:val="38D16412"/>
    <w:rsid w:val="38D95804"/>
    <w:rsid w:val="38E067E7"/>
    <w:rsid w:val="38EB5121"/>
    <w:rsid w:val="38F36AF1"/>
    <w:rsid w:val="38FE54F9"/>
    <w:rsid w:val="390714EE"/>
    <w:rsid w:val="39090AA9"/>
    <w:rsid w:val="390A35F9"/>
    <w:rsid w:val="393442AE"/>
    <w:rsid w:val="395046E1"/>
    <w:rsid w:val="395D0583"/>
    <w:rsid w:val="397B5895"/>
    <w:rsid w:val="39800DE7"/>
    <w:rsid w:val="39821638"/>
    <w:rsid w:val="39887A0A"/>
    <w:rsid w:val="39A92291"/>
    <w:rsid w:val="39AD76F9"/>
    <w:rsid w:val="39BA4298"/>
    <w:rsid w:val="39DF7048"/>
    <w:rsid w:val="39E55D3A"/>
    <w:rsid w:val="3A053C87"/>
    <w:rsid w:val="3A10314B"/>
    <w:rsid w:val="3A230291"/>
    <w:rsid w:val="3A237D77"/>
    <w:rsid w:val="3A355EE9"/>
    <w:rsid w:val="3A3C5C16"/>
    <w:rsid w:val="3A4B24E6"/>
    <w:rsid w:val="3A603274"/>
    <w:rsid w:val="3A665008"/>
    <w:rsid w:val="3A7129B2"/>
    <w:rsid w:val="3A88538F"/>
    <w:rsid w:val="3A8A7D41"/>
    <w:rsid w:val="3A8C07F6"/>
    <w:rsid w:val="3A962EBE"/>
    <w:rsid w:val="3AA1084C"/>
    <w:rsid w:val="3AA765AB"/>
    <w:rsid w:val="3AA9344B"/>
    <w:rsid w:val="3AB74D26"/>
    <w:rsid w:val="3AC36D0F"/>
    <w:rsid w:val="3ACD71E8"/>
    <w:rsid w:val="3AE11271"/>
    <w:rsid w:val="3AE8311F"/>
    <w:rsid w:val="3AE86085"/>
    <w:rsid w:val="3AFD665D"/>
    <w:rsid w:val="3AFE50F6"/>
    <w:rsid w:val="3B0D1386"/>
    <w:rsid w:val="3B166F58"/>
    <w:rsid w:val="3B1742FD"/>
    <w:rsid w:val="3B242A53"/>
    <w:rsid w:val="3B2B4316"/>
    <w:rsid w:val="3B30338C"/>
    <w:rsid w:val="3B3D028E"/>
    <w:rsid w:val="3B3E3808"/>
    <w:rsid w:val="3B586183"/>
    <w:rsid w:val="3B814A10"/>
    <w:rsid w:val="3B9D2E99"/>
    <w:rsid w:val="3BB75117"/>
    <w:rsid w:val="3BCE7DE4"/>
    <w:rsid w:val="3BDF1B55"/>
    <w:rsid w:val="3BED55E8"/>
    <w:rsid w:val="3BEF0431"/>
    <w:rsid w:val="3BF6010B"/>
    <w:rsid w:val="3BFE30EE"/>
    <w:rsid w:val="3C0A428C"/>
    <w:rsid w:val="3C0F430C"/>
    <w:rsid w:val="3C2040E4"/>
    <w:rsid w:val="3C205BA7"/>
    <w:rsid w:val="3C205FE0"/>
    <w:rsid w:val="3C214BC2"/>
    <w:rsid w:val="3C3E0D65"/>
    <w:rsid w:val="3C586FEA"/>
    <w:rsid w:val="3C8A23F2"/>
    <w:rsid w:val="3C8D540F"/>
    <w:rsid w:val="3CA51BCD"/>
    <w:rsid w:val="3CA84053"/>
    <w:rsid w:val="3CAC5E84"/>
    <w:rsid w:val="3CB52401"/>
    <w:rsid w:val="3CCB1846"/>
    <w:rsid w:val="3CD243F0"/>
    <w:rsid w:val="3CD5658F"/>
    <w:rsid w:val="3CEE4E4D"/>
    <w:rsid w:val="3CFA5BD5"/>
    <w:rsid w:val="3D3102CA"/>
    <w:rsid w:val="3D32454C"/>
    <w:rsid w:val="3D3D5D5E"/>
    <w:rsid w:val="3D3E57AD"/>
    <w:rsid w:val="3D734A3E"/>
    <w:rsid w:val="3D896B91"/>
    <w:rsid w:val="3D8C3E6B"/>
    <w:rsid w:val="3D8D74B5"/>
    <w:rsid w:val="3D977E16"/>
    <w:rsid w:val="3DA129B8"/>
    <w:rsid w:val="3DA54336"/>
    <w:rsid w:val="3DC5625F"/>
    <w:rsid w:val="3DE121F5"/>
    <w:rsid w:val="3DF3204D"/>
    <w:rsid w:val="3E1165D8"/>
    <w:rsid w:val="3E235B58"/>
    <w:rsid w:val="3E4E392D"/>
    <w:rsid w:val="3E5473C9"/>
    <w:rsid w:val="3E836D00"/>
    <w:rsid w:val="3E9C54BA"/>
    <w:rsid w:val="3EB27B06"/>
    <w:rsid w:val="3EBE5CD6"/>
    <w:rsid w:val="3EDD7296"/>
    <w:rsid w:val="3EDE11C1"/>
    <w:rsid w:val="3EF12174"/>
    <w:rsid w:val="3EF34433"/>
    <w:rsid w:val="3EF87E23"/>
    <w:rsid w:val="3EFB2FE0"/>
    <w:rsid w:val="3F056172"/>
    <w:rsid w:val="3F0D6A4F"/>
    <w:rsid w:val="3F1C59E2"/>
    <w:rsid w:val="3F234B0B"/>
    <w:rsid w:val="3F6B24EB"/>
    <w:rsid w:val="3F7937DD"/>
    <w:rsid w:val="3F8C05AA"/>
    <w:rsid w:val="3F8C2AAB"/>
    <w:rsid w:val="3F95401B"/>
    <w:rsid w:val="3FA94AC3"/>
    <w:rsid w:val="3FB93A98"/>
    <w:rsid w:val="3FC77C31"/>
    <w:rsid w:val="3FE15C68"/>
    <w:rsid w:val="3FF94927"/>
    <w:rsid w:val="40132123"/>
    <w:rsid w:val="4033138C"/>
    <w:rsid w:val="403768E5"/>
    <w:rsid w:val="40461FBE"/>
    <w:rsid w:val="40483881"/>
    <w:rsid w:val="404B0485"/>
    <w:rsid w:val="404B6A97"/>
    <w:rsid w:val="40500CF8"/>
    <w:rsid w:val="406C2D61"/>
    <w:rsid w:val="406C77BD"/>
    <w:rsid w:val="40782BB5"/>
    <w:rsid w:val="408C7D98"/>
    <w:rsid w:val="40953C9B"/>
    <w:rsid w:val="409E5930"/>
    <w:rsid w:val="40A43F65"/>
    <w:rsid w:val="40A81785"/>
    <w:rsid w:val="40B0599B"/>
    <w:rsid w:val="40B21D27"/>
    <w:rsid w:val="40B51B66"/>
    <w:rsid w:val="40B529C4"/>
    <w:rsid w:val="40B66094"/>
    <w:rsid w:val="40BD57B0"/>
    <w:rsid w:val="40C17293"/>
    <w:rsid w:val="40F0234E"/>
    <w:rsid w:val="412322B1"/>
    <w:rsid w:val="4126283D"/>
    <w:rsid w:val="414659A0"/>
    <w:rsid w:val="41504494"/>
    <w:rsid w:val="415E7B70"/>
    <w:rsid w:val="416A1545"/>
    <w:rsid w:val="41724641"/>
    <w:rsid w:val="41735E8A"/>
    <w:rsid w:val="4184133E"/>
    <w:rsid w:val="419504FA"/>
    <w:rsid w:val="419E6434"/>
    <w:rsid w:val="41AC61F5"/>
    <w:rsid w:val="41BA7003"/>
    <w:rsid w:val="41C16448"/>
    <w:rsid w:val="41D6146D"/>
    <w:rsid w:val="41E67235"/>
    <w:rsid w:val="41F2300D"/>
    <w:rsid w:val="41F6451D"/>
    <w:rsid w:val="41FB31E8"/>
    <w:rsid w:val="41FD302B"/>
    <w:rsid w:val="420F22BA"/>
    <w:rsid w:val="422A7A33"/>
    <w:rsid w:val="42415FFB"/>
    <w:rsid w:val="4265332B"/>
    <w:rsid w:val="426C15B3"/>
    <w:rsid w:val="4289391C"/>
    <w:rsid w:val="42986575"/>
    <w:rsid w:val="42A96AF7"/>
    <w:rsid w:val="42AF1215"/>
    <w:rsid w:val="42B04BD5"/>
    <w:rsid w:val="42CA5A09"/>
    <w:rsid w:val="42E34D3D"/>
    <w:rsid w:val="42E46D31"/>
    <w:rsid w:val="42E655A1"/>
    <w:rsid w:val="43091255"/>
    <w:rsid w:val="431151E1"/>
    <w:rsid w:val="43251BF8"/>
    <w:rsid w:val="432C7795"/>
    <w:rsid w:val="432C793A"/>
    <w:rsid w:val="4332057D"/>
    <w:rsid w:val="433576F6"/>
    <w:rsid w:val="434A7115"/>
    <w:rsid w:val="43643BA2"/>
    <w:rsid w:val="436B35C5"/>
    <w:rsid w:val="437F1461"/>
    <w:rsid w:val="438B356E"/>
    <w:rsid w:val="4392221B"/>
    <w:rsid w:val="43A01960"/>
    <w:rsid w:val="43B82A97"/>
    <w:rsid w:val="43DD53C6"/>
    <w:rsid w:val="44061258"/>
    <w:rsid w:val="4438075A"/>
    <w:rsid w:val="443D753B"/>
    <w:rsid w:val="443E4F22"/>
    <w:rsid w:val="445C6D4D"/>
    <w:rsid w:val="445F1CC4"/>
    <w:rsid w:val="4472021A"/>
    <w:rsid w:val="44912ABF"/>
    <w:rsid w:val="44A042A4"/>
    <w:rsid w:val="44A132F4"/>
    <w:rsid w:val="44A31F98"/>
    <w:rsid w:val="44BA32AA"/>
    <w:rsid w:val="44C140C9"/>
    <w:rsid w:val="44D74ACD"/>
    <w:rsid w:val="44F0521C"/>
    <w:rsid w:val="45092F06"/>
    <w:rsid w:val="45321E66"/>
    <w:rsid w:val="455F63BD"/>
    <w:rsid w:val="4568367B"/>
    <w:rsid w:val="456C3E85"/>
    <w:rsid w:val="45745903"/>
    <w:rsid w:val="457606BB"/>
    <w:rsid w:val="45965B23"/>
    <w:rsid w:val="45A7579D"/>
    <w:rsid w:val="45D4017C"/>
    <w:rsid w:val="460153CE"/>
    <w:rsid w:val="46024DCB"/>
    <w:rsid w:val="460729F7"/>
    <w:rsid w:val="46081EE8"/>
    <w:rsid w:val="461E7023"/>
    <w:rsid w:val="462D4F7D"/>
    <w:rsid w:val="466C3EAD"/>
    <w:rsid w:val="467265D5"/>
    <w:rsid w:val="46884279"/>
    <w:rsid w:val="469D2565"/>
    <w:rsid w:val="46C345E4"/>
    <w:rsid w:val="46D779A0"/>
    <w:rsid w:val="46DB12B0"/>
    <w:rsid w:val="46F46F9B"/>
    <w:rsid w:val="46F656B0"/>
    <w:rsid w:val="47044878"/>
    <w:rsid w:val="471B10FD"/>
    <w:rsid w:val="472B2928"/>
    <w:rsid w:val="4737035C"/>
    <w:rsid w:val="47375F44"/>
    <w:rsid w:val="473B679F"/>
    <w:rsid w:val="475841D7"/>
    <w:rsid w:val="475B3171"/>
    <w:rsid w:val="476A5FF9"/>
    <w:rsid w:val="477762FC"/>
    <w:rsid w:val="4778737B"/>
    <w:rsid w:val="477A242A"/>
    <w:rsid w:val="477B7CD7"/>
    <w:rsid w:val="47885E58"/>
    <w:rsid w:val="47887EC3"/>
    <w:rsid w:val="47937636"/>
    <w:rsid w:val="47A062D3"/>
    <w:rsid w:val="47BF70E3"/>
    <w:rsid w:val="47C4323D"/>
    <w:rsid w:val="47CE6C73"/>
    <w:rsid w:val="47D37674"/>
    <w:rsid w:val="47F719D6"/>
    <w:rsid w:val="47FD0FA1"/>
    <w:rsid w:val="480A76B6"/>
    <w:rsid w:val="48120E3C"/>
    <w:rsid w:val="48232BF3"/>
    <w:rsid w:val="48382E92"/>
    <w:rsid w:val="48483CDB"/>
    <w:rsid w:val="48762088"/>
    <w:rsid w:val="48762C70"/>
    <w:rsid w:val="488C7859"/>
    <w:rsid w:val="48963BE0"/>
    <w:rsid w:val="489A1F3D"/>
    <w:rsid w:val="48A472BC"/>
    <w:rsid w:val="48D64A00"/>
    <w:rsid w:val="48EB6C43"/>
    <w:rsid w:val="48ED47FD"/>
    <w:rsid w:val="48F65F9E"/>
    <w:rsid w:val="49025BF0"/>
    <w:rsid w:val="491751F1"/>
    <w:rsid w:val="493C1BB5"/>
    <w:rsid w:val="49482323"/>
    <w:rsid w:val="494C1E2C"/>
    <w:rsid w:val="495A0C33"/>
    <w:rsid w:val="496B59D4"/>
    <w:rsid w:val="496C2D52"/>
    <w:rsid w:val="496E38F6"/>
    <w:rsid w:val="49786D75"/>
    <w:rsid w:val="498B72CE"/>
    <w:rsid w:val="49906BE2"/>
    <w:rsid w:val="49910239"/>
    <w:rsid w:val="49976CFB"/>
    <w:rsid w:val="499D54DA"/>
    <w:rsid w:val="49AF7182"/>
    <w:rsid w:val="49B36A41"/>
    <w:rsid w:val="49C97953"/>
    <w:rsid w:val="49DA72FC"/>
    <w:rsid w:val="49E63BCC"/>
    <w:rsid w:val="49F03AC8"/>
    <w:rsid w:val="4A03041E"/>
    <w:rsid w:val="4A08421E"/>
    <w:rsid w:val="4A0E393F"/>
    <w:rsid w:val="4A1914C3"/>
    <w:rsid w:val="4A353EA7"/>
    <w:rsid w:val="4A884A46"/>
    <w:rsid w:val="4A984ACE"/>
    <w:rsid w:val="4AAF1F1B"/>
    <w:rsid w:val="4AB03F0B"/>
    <w:rsid w:val="4ACC5753"/>
    <w:rsid w:val="4ADF1960"/>
    <w:rsid w:val="4AF67AC2"/>
    <w:rsid w:val="4B091DD4"/>
    <w:rsid w:val="4B1A2E44"/>
    <w:rsid w:val="4B1D6D08"/>
    <w:rsid w:val="4B280EF0"/>
    <w:rsid w:val="4B3942B9"/>
    <w:rsid w:val="4B4E30BB"/>
    <w:rsid w:val="4B5112AD"/>
    <w:rsid w:val="4B567091"/>
    <w:rsid w:val="4B721942"/>
    <w:rsid w:val="4B7A4FB7"/>
    <w:rsid w:val="4B8803C2"/>
    <w:rsid w:val="4B8C2218"/>
    <w:rsid w:val="4B926D12"/>
    <w:rsid w:val="4BA45824"/>
    <w:rsid w:val="4BA6733E"/>
    <w:rsid w:val="4BC968E3"/>
    <w:rsid w:val="4BCA783F"/>
    <w:rsid w:val="4BE33128"/>
    <w:rsid w:val="4BE45480"/>
    <w:rsid w:val="4C060B12"/>
    <w:rsid w:val="4C0A79F1"/>
    <w:rsid w:val="4C17082A"/>
    <w:rsid w:val="4C593B20"/>
    <w:rsid w:val="4C621FCE"/>
    <w:rsid w:val="4C710DFB"/>
    <w:rsid w:val="4C7B365F"/>
    <w:rsid w:val="4C8719E9"/>
    <w:rsid w:val="4C8910B9"/>
    <w:rsid w:val="4C8A7044"/>
    <w:rsid w:val="4C9155B7"/>
    <w:rsid w:val="4C9B5B38"/>
    <w:rsid w:val="4CA23460"/>
    <w:rsid w:val="4CBF51E2"/>
    <w:rsid w:val="4CC1682C"/>
    <w:rsid w:val="4CCB65A8"/>
    <w:rsid w:val="4CCC16CB"/>
    <w:rsid w:val="4CDA2A9A"/>
    <w:rsid w:val="4CE85177"/>
    <w:rsid w:val="4CF31F52"/>
    <w:rsid w:val="4D2C43BE"/>
    <w:rsid w:val="4D452B50"/>
    <w:rsid w:val="4D457F84"/>
    <w:rsid w:val="4D461137"/>
    <w:rsid w:val="4D764DF5"/>
    <w:rsid w:val="4D811C38"/>
    <w:rsid w:val="4D941FF2"/>
    <w:rsid w:val="4D9E65BB"/>
    <w:rsid w:val="4DA40520"/>
    <w:rsid w:val="4DAE7818"/>
    <w:rsid w:val="4DBC47F8"/>
    <w:rsid w:val="4DD3513F"/>
    <w:rsid w:val="4DDA5A38"/>
    <w:rsid w:val="4DE427FE"/>
    <w:rsid w:val="4DE8743B"/>
    <w:rsid w:val="4DF0398D"/>
    <w:rsid w:val="4E1430E9"/>
    <w:rsid w:val="4E1B09E0"/>
    <w:rsid w:val="4E1E4530"/>
    <w:rsid w:val="4E204B5B"/>
    <w:rsid w:val="4E3278DE"/>
    <w:rsid w:val="4E3C15A5"/>
    <w:rsid w:val="4E417202"/>
    <w:rsid w:val="4E4B5095"/>
    <w:rsid w:val="4E4B519B"/>
    <w:rsid w:val="4E537679"/>
    <w:rsid w:val="4E996A1C"/>
    <w:rsid w:val="4EA109A7"/>
    <w:rsid w:val="4EBF03E4"/>
    <w:rsid w:val="4EEA6300"/>
    <w:rsid w:val="4EF56F92"/>
    <w:rsid w:val="4F0A3152"/>
    <w:rsid w:val="4F14479E"/>
    <w:rsid w:val="4F3051C1"/>
    <w:rsid w:val="4F337CC4"/>
    <w:rsid w:val="4F36371D"/>
    <w:rsid w:val="4F5E260A"/>
    <w:rsid w:val="4F672375"/>
    <w:rsid w:val="4F780575"/>
    <w:rsid w:val="4F905699"/>
    <w:rsid w:val="4F9E7A72"/>
    <w:rsid w:val="4FAC3740"/>
    <w:rsid w:val="4FAF5F27"/>
    <w:rsid w:val="4FB27103"/>
    <w:rsid w:val="4FB512B7"/>
    <w:rsid w:val="4FB9767B"/>
    <w:rsid w:val="4FBF7ABB"/>
    <w:rsid w:val="4FC13ED3"/>
    <w:rsid w:val="4FD839AF"/>
    <w:rsid w:val="4FE01501"/>
    <w:rsid w:val="500B3467"/>
    <w:rsid w:val="50104D33"/>
    <w:rsid w:val="50121A30"/>
    <w:rsid w:val="50162328"/>
    <w:rsid w:val="504E63CF"/>
    <w:rsid w:val="506848C8"/>
    <w:rsid w:val="50806906"/>
    <w:rsid w:val="50B54ABE"/>
    <w:rsid w:val="50B9275C"/>
    <w:rsid w:val="50C474AA"/>
    <w:rsid w:val="50F81A1D"/>
    <w:rsid w:val="510C3B53"/>
    <w:rsid w:val="511A58A0"/>
    <w:rsid w:val="511A6574"/>
    <w:rsid w:val="513312B9"/>
    <w:rsid w:val="513C5A86"/>
    <w:rsid w:val="51633619"/>
    <w:rsid w:val="5186107D"/>
    <w:rsid w:val="51871D31"/>
    <w:rsid w:val="518847D0"/>
    <w:rsid w:val="518A32E1"/>
    <w:rsid w:val="518B126E"/>
    <w:rsid w:val="51AC651C"/>
    <w:rsid w:val="51C228E1"/>
    <w:rsid w:val="51C3727A"/>
    <w:rsid w:val="51CE3C82"/>
    <w:rsid w:val="51DE05E1"/>
    <w:rsid w:val="51E55D03"/>
    <w:rsid w:val="51FA1E79"/>
    <w:rsid w:val="51FC1A1B"/>
    <w:rsid w:val="520C743D"/>
    <w:rsid w:val="520E5610"/>
    <w:rsid w:val="521E2A10"/>
    <w:rsid w:val="52234AE4"/>
    <w:rsid w:val="522B3C1B"/>
    <w:rsid w:val="522C0D27"/>
    <w:rsid w:val="52344790"/>
    <w:rsid w:val="5237139C"/>
    <w:rsid w:val="52385B33"/>
    <w:rsid w:val="5239462B"/>
    <w:rsid w:val="52473A82"/>
    <w:rsid w:val="525F3DDE"/>
    <w:rsid w:val="526D5D7C"/>
    <w:rsid w:val="528C21D7"/>
    <w:rsid w:val="529A1729"/>
    <w:rsid w:val="52A81F56"/>
    <w:rsid w:val="52AE2592"/>
    <w:rsid w:val="52AF68AA"/>
    <w:rsid w:val="52EC469B"/>
    <w:rsid w:val="52EF2825"/>
    <w:rsid w:val="52F772CE"/>
    <w:rsid w:val="53096EAF"/>
    <w:rsid w:val="531122B8"/>
    <w:rsid w:val="531E1DA9"/>
    <w:rsid w:val="53244FED"/>
    <w:rsid w:val="53276E67"/>
    <w:rsid w:val="53361BA3"/>
    <w:rsid w:val="533B72F9"/>
    <w:rsid w:val="533D134C"/>
    <w:rsid w:val="535624AA"/>
    <w:rsid w:val="5369697A"/>
    <w:rsid w:val="53742372"/>
    <w:rsid w:val="53773392"/>
    <w:rsid w:val="5387332E"/>
    <w:rsid w:val="53B819C0"/>
    <w:rsid w:val="53CB5B55"/>
    <w:rsid w:val="53F6728C"/>
    <w:rsid w:val="540006DB"/>
    <w:rsid w:val="54003FFC"/>
    <w:rsid w:val="54065CB8"/>
    <w:rsid w:val="540A5F0C"/>
    <w:rsid w:val="540B5E9D"/>
    <w:rsid w:val="540F389C"/>
    <w:rsid w:val="54197AEC"/>
    <w:rsid w:val="54245C27"/>
    <w:rsid w:val="54417BDC"/>
    <w:rsid w:val="54436714"/>
    <w:rsid w:val="545175B2"/>
    <w:rsid w:val="54620AF4"/>
    <w:rsid w:val="549F2BC7"/>
    <w:rsid w:val="54B42242"/>
    <w:rsid w:val="54C7252E"/>
    <w:rsid w:val="54DA4B1E"/>
    <w:rsid w:val="54ED441A"/>
    <w:rsid w:val="54EF6ED6"/>
    <w:rsid w:val="54F26C6E"/>
    <w:rsid w:val="55057D15"/>
    <w:rsid w:val="5515004D"/>
    <w:rsid w:val="551531BF"/>
    <w:rsid w:val="5519722A"/>
    <w:rsid w:val="55563E2F"/>
    <w:rsid w:val="5556673A"/>
    <w:rsid w:val="55601E31"/>
    <w:rsid w:val="55936049"/>
    <w:rsid w:val="55AB2310"/>
    <w:rsid w:val="55AB3489"/>
    <w:rsid w:val="55AD4B07"/>
    <w:rsid w:val="55E0270A"/>
    <w:rsid w:val="55E72C76"/>
    <w:rsid w:val="55E73782"/>
    <w:rsid w:val="55F00505"/>
    <w:rsid w:val="55F039D1"/>
    <w:rsid w:val="55FA2BFF"/>
    <w:rsid w:val="55FA451E"/>
    <w:rsid w:val="562527A1"/>
    <w:rsid w:val="562B1BEB"/>
    <w:rsid w:val="564E7084"/>
    <w:rsid w:val="565776CF"/>
    <w:rsid w:val="565A325F"/>
    <w:rsid w:val="56786279"/>
    <w:rsid w:val="567A755A"/>
    <w:rsid w:val="569805CB"/>
    <w:rsid w:val="569C487D"/>
    <w:rsid w:val="569E4326"/>
    <w:rsid w:val="56A24563"/>
    <w:rsid w:val="56A7584F"/>
    <w:rsid w:val="56AB7D29"/>
    <w:rsid w:val="56D70E15"/>
    <w:rsid w:val="56D870B9"/>
    <w:rsid w:val="56DA649C"/>
    <w:rsid w:val="56E46568"/>
    <w:rsid w:val="56F023CB"/>
    <w:rsid w:val="56F47FD3"/>
    <w:rsid w:val="57020423"/>
    <w:rsid w:val="57193F55"/>
    <w:rsid w:val="57330307"/>
    <w:rsid w:val="5737376C"/>
    <w:rsid w:val="57607D57"/>
    <w:rsid w:val="57661FBA"/>
    <w:rsid w:val="577E2458"/>
    <w:rsid w:val="57AA11B5"/>
    <w:rsid w:val="57C1470B"/>
    <w:rsid w:val="57EE57BC"/>
    <w:rsid w:val="57F304C4"/>
    <w:rsid w:val="580079F0"/>
    <w:rsid w:val="58066157"/>
    <w:rsid w:val="580B7EDD"/>
    <w:rsid w:val="582E1AC5"/>
    <w:rsid w:val="58322E8A"/>
    <w:rsid w:val="584C68E0"/>
    <w:rsid w:val="584E0929"/>
    <w:rsid w:val="58613E05"/>
    <w:rsid w:val="58617736"/>
    <w:rsid w:val="58667C6F"/>
    <w:rsid w:val="587256F3"/>
    <w:rsid w:val="5873288C"/>
    <w:rsid w:val="587D2AB9"/>
    <w:rsid w:val="588551AD"/>
    <w:rsid w:val="58857B2D"/>
    <w:rsid w:val="58950CC8"/>
    <w:rsid w:val="589D16CD"/>
    <w:rsid w:val="58B92168"/>
    <w:rsid w:val="58C56AF2"/>
    <w:rsid w:val="58DD37E9"/>
    <w:rsid w:val="58E04209"/>
    <w:rsid w:val="58E61EB4"/>
    <w:rsid w:val="58ED73B9"/>
    <w:rsid w:val="58FE2DE8"/>
    <w:rsid w:val="58FE5677"/>
    <w:rsid w:val="590752D3"/>
    <w:rsid w:val="590B2D2B"/>
    <w:rsid w:val="59314678"/>
    <w:rsid w:val="59376BA2"/>
    <w:rsid w:val="593C1E62"/>
    <w:rsid w:val="59760D4E"/>
    <w:rsid w:val="59796190"/>
    <w:rsid w:val="59B11730"/>
    <w:rsid w:val="59B60181"/>
    <w:rsid w:val="59B64D89"/>
    <w:rsid w:val="59B6588A"/>
    <w:rsid w:val="59CF2AB2"/>
    <w:rsid w:val="59D0632B"/>
    <w:rsid w:val="59E20866"/>
    <w:rsid w:val="59F2765B"/>
    <w:rsid w:val="59F96DB7"/>
    <w:rsid w:val="5A063E3B"/>
    <w:rsid w:val="5A1B658B"/>
    <w:rsid w:val="5A3B172F"/>
    <w:rsid w:val="5A44578C"/>
    <w:rsid w:val="5A5F5654"/>
    <w:rsid w:val="5A634474"/>
    <w:rsid w:val="5A667122"/>
    <w:rsid w:val="5A6E604C"/>
    <w:rsid w:val="5A7A59FF"/>
    <w:rsid w:val="5A920C04"/>
    <w:rsid w:val="5A9F1D3C"/>
    <w:rsid w:val="5ADD2E99"/>
    <w:rsid w:val="5AF55431"/>
    <w:rsid w:val="5B336FFD"/>
    <w:rsid w:val="5B42027F"/>
    <w:rsid w:val="5B5A4425"/>
    <w:rsid w:val="5B6C0E0A"/>
    <w:rsid w:val="5BAC3152"/>
    <w:rsid w:val="5BC167E9"/>
    <w:rsid w:val="5BC31389"/>
    <w:rsid w:val="5BD22096"/>
    <w:rsid w:val="5BDE53A3"/>
    <w:rsid w:val="5BE058A6"/>
    <w:rsid w:val="5BF501EB"/>
    <w:rsid w:val="5BF5539C"/>
    <w:rsid w:val="5BF917A6"/>
    <w:rsid w:val="5C0750F4"/>
    <w:rsid w:val="5C0E28F3"/>
    <w:rsid w:val="5C197823"/>
    <w:rsid w:val="5C3413FF"/>
    <w:rsid w:val="5C466CF8"/>
    <w:rsid w:val="5C467EF4"/>
    <w:rsid w:val="5C5C1EB1"/>
    <w:rsid w:val="5C791AAD"/>
    <w:rsid w:val="5C7D642D"/>
    <w:rsid w:val="5C7D667A"/>
    <w:rsid w:val="5C7F0C3E"/>
    <w:rsid w:val="5C83422F"/>
    <w:rsid w:val="5C930305"/>
    <w:rsid w:val="5C952C72"/>
    <w:rsid w:val="5C9E16E3"/>
    <w:rsid w:val="5CA34550"/>
    <w:rsid w:val="5CA73AB4"/>
    <w:rsid w:val="5CA940FC"/>
    <w:rsid w:val="5CBE6E85"/>
    <w:rsid w:val="5CC95A5B"/>
    <w:rsid w:val="5CE6086F"/>
    <w:rsid w:val="5CE87F6A"/>
    <w:rsid w:val="5CE97D3C"/>
    <w:rsid w:val="5D016BFB"/>
    <w:rsid w:val="5D361DF7"/>
    <w:rsid w:val="5D3B7180"/>
    <w:rsid w:val="5D4A4755"/>
    <w:rsid w:val="5D51744D"/>
    <w:rsid w:val="5D531B9B"/>
    <w:rsid w:val="5D5531E9"/>
    <w:rsid w:val="5D5D2C6C"/>
    <w:rsid w:val="5D782D9C"/>
    <w:rsid w:val="5D7D3AC8"/>
    <w:rsid w:val="5DA41E89"/>
    <w:rsid w:val="5DA432F0"/>
    <w:rsid w:val="5DAA1858"/>
    <w:rsid w:val="5DC47C43"/>
    <w:rsid w:val="5DD8433F"/>
    <w:rsid w:val="5DF06860"/>
    <w:rsid w:val="5E19154F"/>
    <w:rsid w:val="5E206343"/>
    <w:rsid w:val="5E33501E"/>
    <w:rsid w:val="5E455007"/>
    <w:rsid w:val="5E4A226F"/>
    <w:rsid w:val="5E580CDF"/>
    <w:rsid w:val="5E70261F"/>
    <w:rsid w:val="5E730F0E"/>
    <w:rsid w:val="5E73336B"/>
    <w:rsid w:val="5E737F45"/>
    <w:rsid w:val="5E877622"/>
    <w:rsid w:val="5EB0227B"/>
    <w:rsid w:val="5EB8797E"/>
    <w:rsid w:val="5EC21A13"/>
    <w:rsid w:val="5ECD5C06"/>
    <w:rsid w:val="5ED36820"/>
    <w:rsid w:val="5ED40C3C"/>
    <w:rsid w:val="5ED54DF9"/>
    <w:rsid w:val="5ED61AF7"/>
    <w:rsid w:val="5ED85283"/>
    <w:rsid w:val="5EDC3197"/>
    <w:rsid w:val="5EE2211B"/>
    <w:rsid w:val="5EF80B71"/>
    <w:rsid w:val="5F21766B"/>
    <w:rsid w:val="5F3D4AAB"/>
    <w:rsid w:val="5F40369F"/>
    <w:rsid w:val="5F5A7840"/>
    <w:rsid w:val="5F5C4722"/>
    <w:rsid w:val="5F71451F"/>
    <w:rsid w:val="5F731619"/>
    <w:rsid w:val="5F88688E"/>
    <w:rsid w:val="5F8A57E1"/>
    <w:rsid w:val="5F8D6EE5"/>
    <w:rsid w:val="5F8D7E6C"/>
    <w:rsid w:val="5F91282B"/>
    <w:rsid w:val="5F9F275C"/>
    <w:rsid w:val="5FA26FB7"/>
    <w:rsid w:val="5FA54BFD"/>
    <w:rsid w:val="5FD542A5"/>
    <w:rsid w:val="5FD74051"/>
    <w:rsid w:val="5FDA262F"/>
    <w:rsid w:val="5FF24379"/>
    <w:rsid w:val="5FF96285"/>
    <w:rsid w:val="5FFE20DB"/>
    <w:rsid w:val="600049F3"/>
    <w:rsid w:val="60066BD4"/>
    <w:rsid w:val="601E002F"/>
    <w:rsid w:val="60274FCB"/>
    <w:rsid w:val="60386AB1"/>
    <w:rsid w:val="603D0BFF"/>
    <w:rsid w:val="603E36F3"/>
    <w:rsid w:val="604568A6"/>
    <w:rsid w:val="60527CC6"/>
    <w:rsid w:val="606E61B2"/>
    <w:rsid w:val="60770469"/>
    <w:rsid w:val="608B1D3D"/>
    <w:rsid w:val="60924541"/>
    <w:rsid w:val="60A512D1"/>
    <w:rsid w:val="60AF24F6"/>
    <w:rsid w:val="60BF20CB"/>
    <w:rsid w:val="60C80079"/>
    <w:rsid w:val="60CA159C"/>
    <w:rsid w:val="60D51903"/>
    <w:rsid w:val="60D931B1"/>
    <w:rsid w:val="60DE0392"/>
    <w:rsid w:val="60F210E4"/>
    <w:rsid w:val="60FC504E"/>
    <w:rsid w:val="60FE418E"/>
    <w:rsid w:val="610E2650"/>
    <w:rsid w:val="61174BEA"/>
    <w:rsid w:val="612546F5"/>
    <w:rsid w:val="613C6027"/>
    <w:rsid w:val="614239B0"/>
    <w:rsid w:val="614D29D0"/>
    <w:rsid w:val="614E4C24"/>
    <w:rsid w:val="615146C5"/>
    <w:rsid w:val="61564097"/>
    <w:rsid w:val="615D3BF8"/>
    <w:rsid w:val="61740422"/>
    <w:rsid w:val="61A63381"/>
    <w:rsid w:val="61D665B3"/>
    <w:rsid w:val="61DB6E0D"/>
    <w:rsid w:val="61DE4930"/>
    <w:rsid w:val="61E46599"/>
    <w:rsid w:val="61FF3EEE"/>
    <w:rsid w:val="62194A6F"/>
    <w:rsid w:val="621F6C02"/>
    <w:rsid w:val="622A5FD7"/>
    <w:rsid w:val="623D042F"/>
    <w:rsid w:val="62402331"/>
    <w:rsid w:val="624B1293"/>
    <w:rsid w:val="62565D37"/>
    <w:rsid w:val="626260AC"/>
    <w:rsid w:val="626B2C0A"/>
    <w:rsid w:val="628745B7"/>
    <w:rsid w:val="62982D88"/>
    <w:rsid w:val="629D153E"/>
    <w:rsid w:val="62AB694C"/>
    <w:rsid w:val="62BE5A94"/>
    <w:rsid w:val="62CB7E3A"/>
    <w:rsid w:val="62D16E35"/>
    <w:rsid w:val="62F27579"/>
    <w:rsid w:val="631004BA"/>
    <w:rsid w:val="634007AE"/>
    <w:rsid w:val="634F3402"/>
    <w:rsid w:val="63567723"/>
    <w:rsid w:val="63672CB7"/>
    <w:rsid w:val="63677CEC"/>
    <w:rsid w:val="63685BF2"/>
    <w:rsid w:val="63690525"/>
    <w:rsid w:val="636E4B31"/>
    <w:rsid w:val="63713480"/>
    <w:rsid w:val="63A8609A"/>
    <w:rsid w:val="63AB38A5"/>
    <w:rsid w:val="63AE1C21"/>
    <w:rsid w:val="63B46821"/>
    <w:rsid w:val="63B70B84"/>
    <w:rsid w:val="63C806AE"/>
    <w:rsid w:val="63F91BFD"/>
    <w:rsid w:val="64032018"/>
    <w:rsid w:val="640F4129"/>
    <w:rsid w:val="64114DE6"/>
    <w:rsid w:val="64215F26"/>
    <w:rsid w:val="64242157"/>
    <w:rsid w:val="643B6378"/>
    <w:rsid w:val="644954DA"/>
    <w:rsid w:val="6454317F"/>
    <w:rsid w:val="64912357"/>
    <w:rsid w:val="64CF4346"/>
    <w:rsid w:val="64D14F3B"/>
    <w:rsid w:val="64EA3984"/>
    <w:rsid w:val="650C276B"/>
    <w:rsid w:val="65165F77"/>
    <w:rsid w:val="651A1616"/>
    <w:rsid w:val="652E7D97"/>
    <w:rsid w:val="653F1BB0"/>
    <w:rsid w:val="65630921"/>
    <w:rsid w:val="65631E72"/>
    <w:rsid w:val="656616E9"/>
    <w:rsid w:val="656802F9"/>
    <w:rsid w:val="656942F9"/>
    <w:rsid w:val="65722B27"/>
    <w:rsid w:val="65885433"/>
    <w:rsid w:val="659539F8"/>
    <w:rsid w:val="65A14CFD"/>
    <w:rsid w:val="65B9730E"/>
    <w:rsid w:val="65D16E66"/>
    <w:rsid w:val="65D63715"/>
    <w:rsid w:val="65F372A4"/>
    <w:rsid w:val="660024E2"/>
    <w:rsid w:val="66031C65"/>
    <w:rsid w:val="661B4EBD"/>
    <w:rsid w:val="663C6615"/>
    <w:rsid w:val="663F5937"/>
    <w:rsid w:val="66477B5F"/>
    <w:rsid w:val="664C490F"/>
    <w:rsid w:val="66521909"/>
    <w:rsid w:val="6669617E"/>
    <w:rsid w:val="667F04E3"/>
    <w:rsid w:val="6683697F"/>
    <w:rsid w:val="669309F1"/>
    <w:rsid w:val="66BB054B"/>
    <w:rsid w:val="66D67BBC"/>
    <w:rsid w:val="67120CD8"/>
    <w:rsid w:val="67204A52"/>
    <w:rsid w:val="67255DD3"/>
    <w:rsid w:val="672C5F97"/>
    <w:rsid w:val="67520A42"/>
    <w:rsid w:val="6753700F"/>
    <w:rsid w:val="675765DF"/>
    <w:rsid w:val="677D408C"/>
    <w:rsid w:val="67826FDD"/>
    <w:rsid w:val="678804BD"/>
    <w:rsid w:val="678B7B52"/>
    <w:rsid w:val="679E6CA1"/>
    <w:rsid w:val="67AC236D"/>
    <w:rsid w:val="67B35944"/>
    <w:rsid w:val="67DA2BA5"/>
    <w:rsid w:val="67E424DE"/>
    <w:rsid w:val="67E85BE3"/>
    <w:rsid w:val="67EF38EB"/>
    <w:rsid w:val="67FF3AF9"/>
    <w:rsid w:val="681A5770"/>
    <w:rsid w:val="681C56E8"/>
    <w:rsid w:val="684E44D9"/>
    <w:rsid w:val="68544916"/>
    <w:rsid w:val="685E1527"/>
    <w:rsid w:val="687850D4"/>
    <w:rsid w:val="68950838"/>
    <w:rsid w:val="68A82957"/>
    <w:rsid w:val="68B01A60"/>
    <w:rsid w:val="68DA7C43"/>
    <w:rsid w:val="68E819D9"/>
    <w:rsid w:val="68F53220"/>
    <w:rsid w:val="690E3EA1"/>
    <w:rsid w:val="691B31B6"/>
    <w:rsid w:val="692D559D"/>
    <w:rsid w:val="695D3921"/>
    <w:rsid w:val="69600516"/>
    <w:rsid w:val="696D0443"/>
    <w:rsid w:val="69702C21"/>
    <w:rsid w:val="697D1884"/>
    <w:rsid w:val="69854566"/>
    <w:rsid w:val="699045FB"/>
    <w:rsid w:val="69AC5687"/>
    <w:rsid w:val="69B97C42"/>
    <w:rsid w:val="69C015F5"/>
    <w:rsid w:val="69F236F9"/>
    <w:rsid w:val="69F918E3"/>
    <w:rsid w:val="6A1B63EE"/>
    <w:rsid w:val="6A20565F"/>
    <w:rsid w:val="6A225D00"/>
    <w:rsid w:val="6A2B2AE3"/>
    <w:rsid w:val="6A3062A8"/>
    <w:rsid w:val="6A604E0E"/>
    <w:rsid w:val="6A61788F"/>
    <w:rsid w:val="6A6430DF"/>
    <w:rsid w:val="6A653E5E"/>
    <w:rsid w:val="6A6F1B7F"/>
    <w:rsid w:val="6A6F4E58"/>
    <w:rsid w:val="6A7C698F"/>
    <w:rsid w:val="6A851AD5"/>
    <w:rsid w:val="6A902328"/>
    <w:rsid w:val="6A9811DC"/>
    <w:rsid w:val="6A985F20"/>
    <w:rsid w:val="6ACA1B05"/>
    <w:rsid w:val="6ACD6665"/>
    <w:rsid w:val="6AD91146"/>
    <w:rsid w:val="6ADC0D47"/>
    <w:rsid w:val="6ADE12A1"/>
    <w:rsid w:val="6ADE35BF"/>
    <w:rsid w:val="6AE77A3A"/>
    <w:rsid w:val="6AEB70B9"/>
    <w:rsid w:val="6B110B6F"/>
    <w:rsid w:val="6B2A668F"/>
    <w:rsid w:val="6B2D05CB"/>
    <w:rsid w:val="6B3B3092"/>
    <w:rsid w:val="6B476A52"/>
    <w:rsid w:val="6B5B0482"/>
    <w:rsid w:val="6B6A52CA"/>
    <w:rsid w:val="6B711049"/>
    <w:rsid w:val="6B7E2050"/>
    <w:rsid w:val="6B880F04"/>
    <w:rsid w:val="6B8F02F4"/>
    <w:rsid w:val="6B943C1D"/>
    <w:rsid w:val="6BCF6F01"/>
    <w:rsid w:val="6BE04BC2"/>
    <w:rsid w:val="6BF37E21"/>
    <w:rsid w:val="6BF9144F"/>
    <w:rsid w:val="6C52293B"/>
    <w:rsid w:val="6C6E1B02"/>
    <w:rsid w:val="6C9D03C4"/>
    <w:rsid w:val="6C9F2D73"/>
    <w:rsid w:val="6CA45B84"/>
    <w:rsid w:val="6CAC1486"/>
    <w:rsid w:val="6CCB27D6"/>
    <w:rsid w:val="6CCF5538"/>
    <w:rsid w:val="6CD2041F"/>
    <w:rsid w:val="6CE66500"/>
    <w:rsid w:val="6D0B012B"/>
    <w:rsid w:val="6D0E7AA0"/>
    <w:rsid w:val="6D1E5321"/>
    <w:rsid w:val="6D276AC1"/>
    <w:rsid w:val="6D4E5F8C"/>
    <w:rsid w:val="6D785A21"/>
    <w:rsid w:val="6D9141D8"/>
    <w:rsid w:val="6DA75FF3"/>
    <w:rsid w:val="6DA8516A"/>
    <w:rsid w:val="6DB04DC7"/>
    <w:rsid w:val="6DBA0F86"/>
    <w:rsid w:val="6DCF1CB4"/>
    <w:rsid w:val="6DD672E2"/>
    <w:rsid w:val="6DE13B74"/>
    <w:rsid w:val="6DED41A0"/>
    <w:rsid w:val="6DEE040E"/>
    <w:rsid w:val="6DF068C3"/>
    <w:rsid w:val="6DFA772C"/>
    <w:rsid w:val="6DFD1344"/>
    <w:rsid w:val="6E274D51"/>
    <w:rsid w:val="6E2D2BD0"/>
    <w:rsid w:val="6E391040"/>
    <w:rsid w:val="6E50687B"/>
    <w:rsid w:val="6E57464E"/>
    <w:rsid w:val="6E602FC8"/>
    <w:rsid w:val="6E6F1C64"/>
    <w:rsid w:val="6E6F5DED"/>
    <w:rsid w:val="6E7047D4"/>
    <w:rsid w:val="6E7209E4"/>
    <w:rsid w:val="6E760899"/>
    <w:rsid w:val="6E76469F"/>
    <w:rsid w:val="6E7C6F01"/>
    <w:rsid w:val="6E805B8E"/>
    <w:rsid w:val="6E8965C3"/>
    <w:rsid w:val="6E9A1053"/>
    <w:rsid w:val="6E9E6390"/>
    <w:rsid w:val="6ECD19C7"/>
    <w:rsid w:val="6ECE32F4"/>
    <w:rsid w:val="6EF20542"/>
    <w:rsid w:val="6EFB6D18"/>
    <w:rsid w:val="6F000D01"/>
    <w:rsid w:val="6F123CBA"/>
    <w:rsid w:val="6F132813"/>
    <w:rsid w:val="6F1F741E"/>
    <w:rsid w:val="6F206F4A"/>
    <w:rsid w:val="6F252405"/>
    <w:rsid w:val="6F3167BB"/>
    <w:rsid w:val="6F325CAC"/>
    <w:rsid w:val="6F375816"/>
    <w:rsid w:val="6F3B6682"/>
    <w:rsid w:val="6F5F7720"/>
    <w:rsid w:val="6F7129C2"/>
    <w:rsid w:val="6F805E3E"/>
    <w:rsid w:val="6F8223AC"/>
    <w:rsid w:val="6F83595E"/>
    <w:rsid w:val="6F8508A3"/>
    <w:rsid w:val="6FBC035A"/>
    <w:rsid w:val="6FD20B07"/>
    <w:rsid w:val="70235991"/>
    <w:rsid w:val="7030762F"/>
    <w:rsid w:val="703D1F9C"/>
    <w:rsid w:val="707E15A9"/>
    <w:rsid w:val="7084285E"/>
    <w:rsid w:val="708C7AC0"/>
    <w:rsid w:val="7090171E"/>
    <w:rsid w:val="70CA6BDB"/>
    <w:rsid w:val="70CD2017"/>
    <w:rsid w:val="70D03C00"/>
    <w:rsid w:val="70E319C1"/>
    <w:rsid w:val="70FD5C2B"/>
    <w:rsid w:val="711D0446"/>
    <w:rsid w:val="711E68DF"/>
    <w:rsid w:val="7141437C"/>
    <w:rsid w:val="714D7DF3"/>
    <w:rsid w:val="714F7186"/>
    <w:rsid w:val="715B5E2F"/>
    <w:rsid w:val="71743B1B"/>
    <w:rsid w:val="71882D04"/>
    <w:rsid w:val="71A1306D"/>
    <w:rsid w:val="71B71935"/>
    <w:rsid w:val="71C100E7"/>
    <w:rsid w:val="71D30C2A"/>
    <w:rsid w:val="71E22906"/>
    <w:rsid w:val="71FA1542"/>
    <w:rsid w:val="71FB2E93"/>
    <w:rsid w:val="720A578F"/>
    <w:rsid w:val="721F470F"/>
    <w:rsid w:val="7223048B"/>
    <w:rsid w:val="7239458F"/>
    <w:rsid w:val="72406548"/>
    <w:rsid w:val="72517B2C"/>
    <w:rsid w:val="72592A57"/>
    <w:rsid w:val="726961D7"/>
    <w:rsid w:val="726B5F60"/>
    <w:rsid w:val="728843AB"/>
    <w:rsid w:val="72A217C3"/>
    <w:rsid w:val="72A82999"/>
    <w:rsid w:val="72B86BD6"/>
    <w:rsid w:val="72BA7FA3"/>
    <w:rsid w:val="72C41ECC"/>
    <w:rsid w:val="72D9176C"/>
    <w:rsid w:val="72E0458B"/>
    <w:rsid w:val="72E251E8"/>
    <w:rsid w:val="72F976F7"/>
    <w:rsid w:val="73126971"/>
    <w:rsid w:val="731D3850"/>
    <w:rsid w:val="731E5432"/>
    <w:rsid w:val="7323085C"/>
    <w:rsid w:val="7345773B"/>
    <w:rsid w:val="735766E5"/>
    <w:rsid w:val="735F7518"/>
    <w:rsid w:val="736161FC"/>
    <w:rsid w:val="73817B0B"/>
    <w:rsid w:val="73981F39"/>
    <w:rsid w:val="739D6418"/>
    <w:rsid w:val="73A52BA4"/>
    <w:rsid w:val="73C53A9E"/>
    <w:rsid w:val="73CA2D87"/>
    <w:rsid w:val="73DA7CF8"/>
    <w:rsid w:val="73ED53CC"/>
    <w:rsid w:val="740C0BDF"/>
    <w:rsid w:val="740D6DEE"/>
    <w:rsid w:val="74211F75"/>
    <w:rsid w:val="74483876"/>
    <w:rsid w:val="74525120"/>
    <w:rsid w:val="74526C1D"/>
    <w:rsid w:val="7456702D"/>
    <w:rsid w:val="745E5330"/>
    <w:rsid w:val="74737BC7"/>
    <w:rsid w:val="7477525A"/>
    <w:rsid w:val="7484791B"/>
    <w:rsid w:val="74B224FF"/>
    <w:rsid w:val="74B35A76"/>
    <w:rsid w:val="74C01A5C"/>
    <w:rsid w:val="74D77832"/>
    <w:rsid w:val="74F16899"/>
    <w:rsid w:val="74F41C6A"/>
    <w:rsid w:val="74F91764"/>
    <w:rsid w:val="74FA72EC"/>
    <w:rsid w:val="75004A45"/>
    <w:rsid w:val="75017985"/>
    <w:rsid w:val="75033473"/>
    <w:rsid w:val="75093A1C"/>
    <w:rsid w:val="75277C6F"/>
    <w:rsid w:val="75380252"/>
    <w:rsid w:val="753C6070"/>
    <w:rsid w:val="7551549B"/>
    <w:rsid w:val="7563465F"/>
    <w:rsid w:val="756F1779"/>
    <w:rsid w:val="7586156C"/>
    <w:rsid w:val="75A850CE"/>
    <w:rsid w:val="75C66BF9"/>
    <w:rsid w:val="75C95155"/>
    <w:rsid w:val="75D84B93"/>
    <w:rsid w:val="75DE3EDC"/>
    <w:rsid w:val="75E505B1"/>
    <w:rsid w:val="75F31A02"/>
    <w:rsid w:val="76060C3D"/>
    <w:rsid w:val="760C41A0"/>
    <w:rsid w:val="76211E85"/>
    <w:rsid w:val="762E1223"/>
    <w:rsid w:val="762E72F7"/>
    <w:rsid w:val="76342F95"/>
    <w:rsid w:val="763E0DCE"/>
    <w:rsid w:val="763E637E"/>
    <w:rsid w:val="764278AF"/>
    <w:rsid w:val="764750DE"/>
    <w:rsid w:val="765E1CEB"/>
    <w:rsid w:val="766E7930"/>
    <w:rsid w:val="76805F5B"/>
    <w:rsid w:val="76864E95"/>
    <w:rsid w:val="76A74FC5"/>
    <w:rsid w:val="76AC554D"/>
    <w:rsid w:val="76B67BF5"/>
    <w:rsid w:val="76C77901"/>
    <w:rsid w:val="76EE3A92"/>
    <w:rsid w:val="76F13D74"/>
    <w:rsid w:val="77154056"/>
    <w:rsid w:val="77267703"/>
    <w:rsid w:val="775C180F"/>
    <w:rsid w:val="77601DD5"/>
    <w:rsid w:val="77714943"/>
    <w:rsid w:val="77762FAC"/>
    <w:rsid w:val="778211E1"/>
    <w:rsid w:val="7785638C"/>
    <w:rsid w:val="77887A84"/>
    <w:rsid w:val="77985A08"/>
    <w:rsid w:val="77AA6A40"/>
    <w:rsid w:val="77B84673"/>
    <w:rsid w:val="77BF793C"/>
    <w:rsid w:val="77C416BB"/>
    <w:rsid w:val="77C77F28"/>
    <w:rsid w:val="77C96214"/>
    <w:rsid w:val="77E72EEF"/>
    <w:rsid w:val="78015D7F"/>
    <w:rsid w:val="7813715A"/>
    <w:rsid w:val="784808CC"/>
    <w:rsid w:val="78542299"/>
    <w:rsid w:val="7855501B"/>
    <w:rsid w:val="786445DA"/>
    <w:rsid w:val="78685FD6"/>
    <w:rsid w:val="78774BB2"/>
    <w:rsid w:val="78810CB5"/>
    <w:rsid w:val="789130F8"/>
    <w:rsid w:val="78AB205A"/>
    <w:rsid w:val="78B475A1"/>
    <w:rsid w:val="78B81EF5"/>
    <w:rsid w:val="78C01A0F"/>
    <w:rsid w:val="78C23716"/>
    <w:rsid w:val="78D22D18"/>
    <w:rsid w:val="78DA7C21"/>
    <w:rsid w:val="78EE58C6"/>
    <w:rsid w:val="78F941AF"/>
    <w:rsid w:val="79104282"/>
    <w:rsid w:val="792665B7"/>
    <w:rsid w:val="79341C6E"/>
    <w:rsid w:val="7936711D"/>
    <w:rsid w:val="79390F9B"/>
    <w:rsid w:val="79505530"/>
    <w:rsid w:val="796B255E"/>
    <w:rsid w:val="79707449"/>
    <w:rsid w:val="79827D52"/>
    <w:rsid w:val="79836FF6"/>
    <w:rsid w:val="798A5B6E"/>
    <w:rsid w:val="79A85F45"/>
    <w:rsid w:val="79BA0014"/>
    <w:rsid w:val="79C177F9"/>
    <w:rsid w:val="79C84DC4"/>
    <w:rsid w:val="79F35C77"/>
    <w:rsid w:val="7A113676"/>
    <w:rsid w:val="7A115778"/>
    <w:rsid w:val="7A227C20"/>
    <w:rsid w:val="7A2D7476"/>
    <w:rsid w:val="7A2E6CB7"/>
    <w:rsid w:val="7A4C7FE2"/>
    <w:rsid w:val="7A69331B"/>
    <w:rsid w:val="7A6A2D1A"/>
    <w:rsid w:val="7A737233"/>
    <w:rsid w:val="7A902719"/>
    <w:rsid w:val="7AA12AD3"/>
    <w:rsid w:val="7AAB39CE"/>
    <w:rsid w:val="7ABA2899"/>
    <w:rsid w:val="7AD83B27"/>
    <w:rsid w:val="7ADC3515"/>
    <w:rsid w:val="7AEF45B9"/>
    <w:rsid w:val="7AF701BA"/>
    <w:rsid w:val="7AF90411"/>
    <w:rsid w:val="7AFE463E"/>
    <w:rsid w:val="7AFF1E15"/>
    <w:rsid w:val="7B383E5D"/>
    <w:rsid w:val="7B765B5F"/>
    <w:rsid w:val="7B9F4E8D"/>
    <w:rsid w:val="7BA44022"/>
    <w:rsid w:val="7BC904DC"/>
    <w:rsid w:val="7BD70423"/>
    <w:rsid w:val="7BFF4E68"/>
    <w:rsid w:val="7C052DF5"/>
    <w:rsid w:val="7C301E06"/>
    <w:rsid w:val="7C3C73A3"/>
    <w:rsid w:val="7C4169E6"/>
    <w:rsid w:val="7C5B671C"/>
    <w:rsid w:val="7C686152"/>
    <w:rsid w:val="7C71269B"/>
    <w:rsid w:val="7C902E7F"/>
    <w:rsid w:val="7C937485"/>
    <w:rsid w:val="7C946750"/>
    <w:rsid w:val="7C99506C"/>
    <w:rsid w:val="7CA4498C"/>
    <w:rsid w:val="7CAD097A"/>
    <w:rsid w:val="7CAD6C9C"/>
    <w:rsid w:val="7CAE7352"/>
    <w:rsid w:val="7CAF3FB9"/>
    <w:rsid w:val="7CB349D8"/>
    <w:rsid w:val="7CBE4E2C"/>
    <w:rsid w:val="7CC837A7"/>
    <w:rsid w:val="7CC84E69"/>
    <w:rsid w:val="7CDA6180"/>
    <w:rsid w:val="7CDF0656"/>
    <w:rsid w:val="7CF17614"/>
    <w:rsid w:val="7D1763A5"/>
    <w:rsid w:val="7D1D61CF"/>
    <w:rsid w:val="7D20578D"/>
    <w:rsid w:val="7D31784A"/>
    <w:rsid w:val="7D3D7AFC"/>
    <w:rsid w:val="7D416D68"/>
    <w:rsid w:val="7D423B33"/>
    <w:rsid w:val="7D615219"/>
    <w:rsid w:val="7D684279"/>
    <w:rsid w:val="7DD0016D"/>
    <w:rsid w:val="7DE92AE0"/>
    <w:rsid w:val="7DF51CA9"/>
    <w:rsid w:val="7DF83CAE"/>
    <w:rsid w:val="7E0C5574"/>
    <w:rsid w:val="7E152945"/>
    <w:rsid w:val="7E152EDB"/>
    <w:rsid w:val="7E16214E"/>
    <w:rsid w:val="7E181684"/>
    <w:rsid w:val="7E2F2CEA"/>
    <w:rsid w:val="7E3E3108"/>
    <w:rsid w:val="7E631442"/>
    <w:rsid w:val="7EA73B93"/>
    <w:rsid w:val="7EC05133"/>
    <w:rsid w:val="7EC47F82"/>
    <w:rsid w:val="7ECF6393"/>
    <w:rsid w:val="7ED608CB"/>
    <w:rsid w:val="7ED927AC"/>
    <w:rsid w:val="7EDB6456"/>
    <w:rsid w:val="7F32415C"/>
    <w:rsid w:val="7F494558"/>
    <w:rsid w:val="7F4E316F"/>
    <w:rsid w:val="7F792F33"/>
    <w:rsid w:val="7F7C051C"/>
    <w:rsid w:val="7F832B26"/>
    <w:rsid w:val="7F8F2756"/>
    <w:rsid w:val="7F9467F1"/>
    <w:rsid w:val="7F9D0561"/>
    <w:rsid w:val="7FA45A50"/>
    <w:rsid w:val="7FA60C47"/>
    <w:rsid w:val="7FAA302F"/>
    <w:rsid w:val="7FCB56D6"/>
    <w:rsid w:val="7FD0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0"/>
    <w:qFormat/>
    <w:uiPriority w:val="0"/>
    <w:pPr>
      <w:keepNext/>
      <w:keepLines/>
      <w:spacing w:before="480"/>
      <w:outlineLvl w:val="0"/>
    </w:pPr>
    <w:rPr>
      <w:rFonts w:asciiTheme="majorHAnsi" w:hAnsiTheme="majorHAnsi" w:eastAsiaTheme="majorEastAsia" w:cstheme="majorBidi"/>
      <w:b/>
      <w:bCs/>
      <w:color w:val="376092" w:themeColor="accent1" w:themeShade="BF"/>
      <w:szCs w:val="28"/>
    </w:rPr>
  </w:style>
  <w:style w:type="paragraph" w:styleId="4">
    <w:name w:val="heading 2"/>
    <w:basedOn w:val="1"/>
    <w:next w:val="1"/>
    <w:link w:val="140"/>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58"/>
    <w:unhideWhenUsed/>
    <w:qFormat/>
    <w:uiPriority w:val="0"/>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59"/>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60"/>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61"/>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62"/>
    <w:unhideWhenUsed/>
    <w:qFormat/>
    <w:uiPriority w:val="9"/>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63"/>
    <w:unhideWhenUsed/>
    <w:qFormat/>
    <w:uiPriority w:val="9"/>
    <w:pPr>
      <w:keepNext/>
      <w:keepLines/>
      <w:spacing w:before="20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64"/>
    <w:unhideWhenUsed/>
    <w:qFormat/>
    <w:uiPriority w:val="9"/>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5"/>
    <w:qFormat/>
    <w:uiPriority w:val="0"/>
    <w:pPr>
      <w:widowControl/>
      <w:spacing w:line="360" w:lineRule="auto"/>
    </w:pPr>
    <w:rPr>
      <w:color w:val="FF0000"/>
    </w:rPr>
  </w:style>
  <w:style w:type="paragraph" w:styleId="12">
    <w:name w:val="Normal Indent"/>
    <w:basedOn w:val="1"/>
    <w:next w:val="1"/>
    <w:qFormat/>
    <w:uiPriority w:val="0"/>
    <w:pPr>
      <w:ind w:firstLine="420" w:firstLineChars="200"/>
    </w:pPr>
  </w:style>
  <w:style w:type="paragraph" w:styleId="13">
    <w:name w:val="caption"/>
    <w:basedOn w:val="1"/>
    <w:next w:val="1"/>
    <w:unhideWhenUsed/>
    <w:qFormat/>
    <w:uiPriority w:val="35"/>
    <w:rPr>
      <w:b/>
      <w:bCs/>
      <w:color w:val="4F81BD" w:themeColor="accent1"/>
      <w:sz w:val="18"/>
      <w:szCs w:val="18"/>
      <w14:textFill>
        <w14:solidFill>
          <w14:schemeClr w14:val="accent1"/>
        </w14:solidFill>
      </w14:textFill>
    </w:rPr>
  </w:style>
  <w:style w:type="paragraph" w:styleId="14">
    <w:name w:val="Document Map"/>
    <w:basedOn w:val="1"/>
    <w:link w:val="103"/>
    <w:qFormat/>
    <w:uiPriority w:val="0"/>
    <w:rPr>
      <w:rFonts w:ascii="宋体" w:hAnsiTheme="minorHAnsi" w:eastAsiaTheme="minorEastAsia" w:cstheme="minorBidi"/>
      <w:sz w:val="18"/>
      <w:szCs w:val="18"/>
      <w:lang w:eastAsia="en-US" w:bidi="en-US"/>
    </w:rPr>
  </w:style>
  <w:style w:type="paragraph" w:styleId="15">
    <w:name w:val="annotation text"/>
    <w:basedOn w:val="1"/>
    <w:link w:val="99"/>
    <w:qFormat/>
    <w:uiPriority w:val="0"/>
    <w:pPr>
      <w:jc w:val="left"/>
    </w:pPr>
    <w:rPr>
      <w:sz w:val="18"/>
      <w:szCs w:val="22"/>
      <w:lang w:eastAsia="en-US" w:bidi="en-US"/>
    </w:rPr>
  </w:style>
  <w:style w:type="paragraph" w:styleId="16">
    <w:name w:val="Body Text Indent"/>
    <w:basedOn w:val="1"/>
    <w:link w:val="97"/>
    <w:qFormat/>
    <w:uiPriority w:val="0"/>
    <w:pPr>
      <w:ind w:firstLine="630"/>
    </w:pPr>
    <w:rPr>
      <w:sz w:val="32"/>
      <w:szCs w:val="20"/>
    </w:rPr>
  </w:style>
  <w:style w:type="paragraph" w:styleId="17">
    <w:name w:val="Block Text"/>
    <w:basedOn w:val="1"/>
    <w:qFormat/>
    <w:uiPriority w:val="0"/>
    <w:pPr>
      <w:widowControl/>
      <w:ind w:left="180" w:right="288"/>
    </w:pPr>
    <w:rPr>
      <w:rFonts w:ascii="Arial" w:hAnsi="Arial" w:cs="Arial"/>
      <w:kern w:val="0"/>
      <w:sz w:val="20"/>
      <w:lang w:eastAsia="en-US"/>
    </w:rPr>
  </w:style>
  <w:style w:type="paragraph" w:styleId="18">
    <w:name w:val="toc 3"/>
    <w:basedOn w:val="1"/>
    <w:next w:val="1"/>
    <w:qFormat/>
    <w:uiPriority w:val="39"/>
    <w:pPr>
      <w:ind w:left="840" w:leftChars="400"/>
    </w:pPr>
  </w:style>
  <w:style w:type="paragraph" w:styleId="19">
    <w:name w:val="Plain Text"/>
    <w:basedOn w:val="1"/>
    <w:link w:val="109"/>
    <w:qFormat/>
    <w:uiPriority w:val="0"/>
    <w:pPr>
      <w:autoSpaceDE w:val="0"/>
      <w:autoSpaceDN w:val="0"/>
      <w:adjustRightInd w:val="0"/>
    </w:pPr>
    <w:rPr>
      <w:rFonts w:ascii="宋体" w:hAnsi="Tms Rmn" w:eastAsiaTheme="minorEastAsia"/>
      <w:szCs w:val="22"/>
      <w:lang w:eastAsia="en-US" w:bidi="en-US"/>
    </w:rPr>
  </w:style>
  <w:style w:type="paragraph" w:styleId="20">
    <w:name w:val="Body Text Indent 2"/>
    <w:basedOn w:val="1"/>
    <w:link w:val="108"/>
    <w:qFormat/>
    <w:uiPriority w:val="0"/>
    <w:pPr>
      <w:spacing w:after="120" w:line="480" w:lineRule="auto"/>
      <w:ind w:left="420" w:leftChars="200"/>
    </w:pPr>
  </w:style>
  <w:style w:type="paragraph" w:styleId="21">
    <w:name w:val="Balloon Text"/>
    <w:basedOn w:val="1"/>
    <w:link w:val="111"/>
    <w:qFormat/>
    <w:uiPriority w:val="0"/>
    <w:rPr>
      <w:rFonts w:asciiTheme="minorHAnsi" w:hAnsiTheme="minorHAnsi" w:eastAsiaTheme="minorEastAsia" w:cstheme="minorBidi"/>
      <w:sz w:val="18"/>
      <w:szCs w:val="18"/>
      <w:lang w:eastAsia="en-US" w:bidi="en-US"/>
    </w:rPr>
  </w:style>
  <w:style w:type="paragraph" w:styleId="22">
    <w:name w:val="footer"/>
    <w:basedOn w:val="1"/>
    <w:link w:val="80"/>
    <w:unhideWhenUsed/>
    <w:qFormat/>
    <w:uiPriority w:val="99"/>
    <w:pPr>
      <w:tabs>
        <w:tab w:val="center" w:pos="4153"/>
        <w:tab w:val="right" w:pos="8306"/>
      </w:tabs>
      <w:snapToGrid w:val="0"/>
      <w:jc w:val="left"/>
    </w:pPr>
    <w:rPr>
      <w:sz w:val="18"/>
      <w:szCs w:val="18"/>
    </w:rPr>
  </w:style>
  <w:style w:type="paragraph" w:styleId="23">
    <w:name w:val="header"/>
    <w:basedOn w:val="1"/>
    <w:link w:val="7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11057"/>
      </w:tabs>
    </w:pPr>
  </w:style>
  <w:style w:type="paragraph" w:styleId="25">
    <w:name w:val="Subtitle"/>
    <w:basedOn w:val="1"/>
    <w:next w:val="1"/>
    <w:link w:val="66"/>
    <w:qFormat/>
    <w:uiPriority w:val="0"/>
    <w:rPr>
      <w:rFonts w:asciiTheme="majorHAnsi" w:hAnsiTheme="majorHAnsi" w:eastAsiaTheme="majorEastAsia" w:cstheme="majorBidi"/>
      <w:i/>
      <w:iCs/>
      <w:color w:val="4F81BD" w:themeColor="accent1"/>
      <w:spacing w:val="15"/>
      <w:sz w:val="24"/>
      <w14:textFill>
        <w14:solidFill>
          <w14:schemeClr w14:val="accent1"/>
        </w14:solidFill>
      </w14:textFill>
    </w:rPr>
  </w:style>
  <w:style w:type="paragraph" w:styleId="26">
    <w:name w:val="footnote text"/>
    <w:basedOn w:val="1"/>
    <w:qFormat/>
    <w:uiPriority w:val="0"/>
    <w:pPr>
      <w:snapToGrid w:val="0"/>
      <w:jc w:val="left"/>
    </w:pPr>
    <w:rPr>
      <w:sz w:val="18"/>
      <w:szCs w:val="18"/>
    </w:rPr>
  </w:style>
  <w:style w:type="paragraph" w:styleId="27">
    <w:name w:val="toc 2"/>
    <w:basedOn w:val="1"/>
    <w:next w:val="1"/>
    <w:qFormat/>
    <w:uiPriority w:val="39"/>
    <w:pPr>
      <w:tabs>
        <w:tab w:val="left" w:pos="0"/>
        <w:tab w:val="right" w:leader="dot" w:pos="8647"/>
      </w:tabs>
      <w:ind w:left="420" w:leftChars="200"/>
    </w:pPr>
  </w:style>
  <w:style w:type="paragraph" w:styleId="28">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9">
    <w:name w:val="Title"/>
    <w:basedOn w:val="1"/>
    <w:next w:val="1"/>
    <w:link w:val="65"/>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30">
    <w:name w:val="Body Text First Indent"/>
    <w:basedOn w:val="2"/>
    <w:next w:val="1"/>
    <w:qFormat/>
    <w:uiPriority w:val="0"/>
    <w:pPr>
      <w:ind w:firstLine="420" w:firstLineChars="100"/>
    </w:pPr>
  </w:style>
  <w:style w:type="paragraph" w:styleId="31">
    <w:name w:val="Body Text First Indent 2"/>
    <w:basedOn w:val="16"/>
    <w:unhideWhenUsed/>
    <w:qFormat/>
    <w:uiPriority w:val="99"/>
    <w:pPr>
      <w:widowControl/>
      <w:spacing w:afterLines="50"/>
      <w:ind w:left="420" w:leftChars="200" w:firstLine="420"/>
      <w:jc w:val="left"/>
    </w:pPr>
    <w:rPr>
      <w:sz w:val="24"/>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basedOn w:val="34"/>
    <w:qFormat/>
    <w:uiPriority w:val="0"/>
    <w:rPr>
      <w:color w:val="333333"/>
      <w:u w:val="none"/>
    </w:rPr>
  </w:style>
  <w:style w:type="character" w:styleId="38">
    <w:name w:val="Emphasis"/>
    <w:basedOn w:val="34"/>
    <w:qFormat/>
    <w:uiPriority w:val="20"/>
    <w:rPr>
      <w:i/>
      <w:iCs/>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unhideWhenUsed/>
    <w:qFormat/>
    <w:uiPriority w:val="99"/>
    <w:rPr>
      <w:color w:val="333333"/>
      <w:u w:val="none"/>
    </w:rPr>
  </w:style>
  <w:style w:type="character" w:styleId="44">
    <w:name w:val="HTML Code"/>
    <w:basedOn w:val="34"/>
    <w:qFormat/>
    <w:uiPriority w:val="0"/>
    <w:rPr>
      <w:rFonts w:hint="default" w:ascii="monospace" w:hAnsi="monospace" w:eastAsia="monospace" w:cs="monospace"/>
      <w:sz w:val="20"/>
    </w:rPr>
  </w:style>
  <w:style w:type="character" w:styleId="45">
    <w:name w:val="annotation reference"/>
    <w:basedOn w:val="34"/>
    <w:qFormat/>
    <w:uiPriority w:val="0"/>
    <w:rPr>
      <w:sz w:val="21"/>
      <w:szCs w:val="21"/>
    </w:rPr>
  </w:style>
  <w:style w:type="character" w:styleId="46">
    <w:name w:val="HTML Cite"/>
    <w:basedOn w:val="34"/>
    <w:qFormat/>
    <w:uiPriority w:val="0"/>
  </w:style>
  <w:style w:type="character" w:styleId="47">
    <w:name w:val="footnote reference"/>
    <w:qFormat/>
    <w:uiPriority w:val="0"/>
    <w:rPr>
      <w:vertAlign w:val="superscript"/>
    </w:rPr>
  </w:style>
  <w:style w:type="character" w:styleId="48">
    <w:name w:val="HTML Keyboard"/>
    <w:basedOn w:val="34"/>
    <w:qFormat/>
    <w:uiPriority w:val="0"/>
    <w:rPr>
      <w:rFonts w:hint="default" w:ascii="monospace" w:hAnsi="monospace" w:eastAsia="monospace" w:cs="monospace"/>
      <w:sz w:val="20"/>
    </w:rPr>
  </w:style>
  <w:style w:type="character" w:styleId="49">
    <w:name w:val="HTML Sample"/>
    <w:basedOn w:val="34"/>
    <w:qFormat/>
    <w:uiPriority w:val="0"/>
    <w:rPr>
      <w:rFonts w:ascii="monospace" w:hAnsi="monospace" w:eastAsia="monospace" w:cs="monospace"/>
    </w:rPr>
  </w:style>
  <w:style w:type="paragraph" w:customStyle="1" w:styleId="5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Default"/>
    <w:basedOn w:val="1"/>
    <w:next w:val="1"/>
    <w:qFormat/>
    <w:uiPriority w:val="0"/>
    <w:pPr>
      <w:autoSpaceDE w:val="0"/>
      <w:autoSpaceDN w:val="0"/>
      <w:adjustRightInd w:val="0"/>
      <w:jc w:val="left"/>
    </w:pPr>
    <w:rPr>
      <w:rFonts w:hint="eastAsia" w:ascii="宋体"/>
      <w:color w:val="000000"/>
      <w:kern w:val="0"/>
      <w:sz w:val="24"/>
    </w:rPr>
  </w:style>
  <w:style w:type="paragraph" w:customStyle="1" w:styleId="5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53">
    <w:name w:val="标题 5（有编号）（绿盟科技）"/>
    <w:basedOn w:val="1"/>
    <w:next w:val="54"/>
    <w:qFormat/>
    <w:uiPriority w:val="99"/>
    <w:pPr>
      <w:keepNext/>
      <w:keepLines/>
      <w:numPr>
        <w:ilvl w:val="4"/>
        <w:numId w:val="1"/>
      </w:numPr>
      <w:spacing w:before="280" w:after="156" w:line="376" w:lineRule="auto"/>
      <w:jc w:val="left"/>
      <w:outlineLvl w:val="4"/>
    </w:pPr>
    <w:rPr>
      <w:rFonts w:ascii="Arial" w:hAnsi="Arial" w:eastAsia="黑体"/>
      <w:b/>
      <w:kern w:val="0"/>
      <w:sz w:val="34"/>
      <w:szCs w:val="28"/>
    </w:rPr>
  </w:style>
  <w:style w:type="paragraph" w:customStyle="1" w:styleId="54">
    <w:name w:val="正文（绿盟科技）"/>
    <w:basedOn w:val="1"/>
    <w:qFormat/>
    <w:uiPriority w:val="99"/>
    <w:pPr>
      <w:widowControl/>
      <w:spacing w:line="300" w:lineRule="auto"/>
      <w:jc w:val="left"/>
    </w:pPr>
    <w:rPr>
      <w:rFonts w:ascii="Arial" w:hAnsi="Arial"/>
      <w:kern w:val="0"/>
      <w:szCs w:val="21"/>
    </w:rPr>
  </w:style>
  <w:style w:type="character" w:customStyle="1" w:styleId="55">
    <w:name w:val="标题 1 Char"/>
    <w:basedOn w:val="34"/>
    <w:qFormat/>
    <w:uiPriority w:val="0"/>
    <w:rPr>
      <w:rFonts w:asciiTheme="majorHAnsi" w:hAnsiTheme="majorHAnsi" w:eastAsiaTheme="majorEastAsia" w:cstheme="majorBidi"/>
      <w:b/>
      <w:bCs/>
      <w:color w:val="376092" w:themeColor="accent1" w:themeShade="BF"/>
      <w:sz w:val="28"/>
      <w:szCs w:val="28"/>
    </w:rPr>
  </w:style>
  <w:style w:type="paragraph" w:customStyle="1" w:styleId="56">
    <w:name w:val="无间隔1"/>
    <w:link w:val="67"/>
    <w:qFormat/>
    <w:uiPriority w:val="1"/>
    <w:pPr>
      <w:jc w:val="both"/>
    </w:pPr>
    <w:rPr>
      <w:rFonts w:asciiTheme="minorHAnsi" w:hAnsiTheme="minorHAnsi" w:eastAsiaTheme="minorEastAsia" w:cstheme="minorBidi"/>
      <w:sz w:val="22"/>
      <w:szCs w:val="22"/>
      <w:lang w:val="en-US" w:eastAsia="en-US" w:bidi="en-US"/>
    </w:rPr>
  </w:style>
  <w:style w:type="character" w:customStyle="1" w:styleId="57">
    <w:name w:val="标题 2 Char"/>
    <w:basedOn w:val="34"/>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58">
    <w:name w:val="标题 3 字符"/>
    <w:basedOn w:val="34"/>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59">
    <w:name w:val="标题 4 字符"/>
    <w:basedOn w:val="34"/>
    <w:link w:val="6"/>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0">
    <w:name w:val="标题 5 字符"/>
    <w:basedOn w:val="34"/>
    <w:link w:val="7"/>
    <w:qFormat/>
    <w:uiPriority w:val="9"/>
    <w:rPr>
      <w:rFonts w:asciiTheme="majorHAnsi" w:hAnsiTheme="majorHAnsi" w:eastAsiaTheme="majorEastAsia" w:cstheme="majorBidi"/>
      <w:color w:val="254061" w:themeColor="accent1" w:themeShade="80"/>
    </w:rPr>
  </w:style>
  <w:style w:type="character" w:customStyle="1" w:styleId="61">
    <w:name w:val="标题 6 字符"/>
    <w:basedOn w:val="34"/>
    <w:link w:val="8"/>
    <w:qFormat/>
    <w:uiPriority w:val="9"/>
    <w:rPr>
      <w:rFonts w:asciiTheme="majorHAnsi" w:hAnsiTheme="majorHAnsi" w:eastAsiaTheme="majorEastAsia" w:cstheme="majorBidi"/>
      <w:i/>
      <w:iCs/>
      <w:color w:val="254061" w:themeColor="accent1" w:themeShade="80"/>
    </w:rPr>
  </w:style>
  <w:style w:type="character" w:customStyle="1" w:styleId="62">
    <w:name w:val="标题 7 字符"/>
    <w:basedOn w:val="34"/>
    <w:link w:val="9"/>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63">
    <w:name w:val="标题 8 字符"/>
    <w:basedOn w:val="34"/>
    <w:link w:val="10"/>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64">
    <w:name w:val="标题 9 字符"/>
    <w:basedOn w:val="34"/>
    <w:link w:val="11"/>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65">
    <w:name w:val="标题 字符"/>
    <w:basedOn w:val="34"/>
    <w:link w:val="29"/>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66">
    <w:name w:val="副标题 字符"/>
    <w:basedOn w:val="34"/>
    <w:link w:val="2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67">
    <w:name w:val="无间隔 Char"/>
    <w:basedOn w:val="34"/>
    <w:link w:val="56"/>
    <w:qFormat/>
    <w:uiPriority w:val="1"/>
  </w:style>
  <w:style w:type="paragraph" w:customStyle="1" w:styleId="68">
    <w:name w:val="列出段落1"/>
    <w:basedOn w:val="1"/>
    <w:qFormat/>
    <w:uiPriority w:val="99"/>
    <w:pPr>
      <w:ind w:left="720"/>
      <w:contextualSpacing/>
    </w:pPr>
  </w:style>
  <w:style w:type="paragraph" w:customStyle="1" w:styleId="69">
    <w:name w:val="引用1"/>
    <w:basedOn w:val="1"/>
    <w:next w:val="1"/>
    <w:link w:val="70"/>
    <w:qFormat/>
    <w:uiPriority w:val="0"/>
    <w:rPr>
      <w:i/>
      <w:iCs/>
      <w:color w:val="000000" w:themeColor="text1"/>
      <w14:textFill>
        <w14:solidFill>
          <w14:schemeClr w14:val="tx1"/>
        </w14:solidFill>
      </w14:textFill>
    </w:rPr>
  </w:style>
  <w:style w:type="character" w:customStyle="1" w:styleId="70">
    <w:name w:val="引用 Char"/>
    <w:basedOn w:val="34"/>
    <w:link w:val="69"/>
    <w:qFormat/>
    <w:uiPriority w:val="29"/>
    <w:rPr>
      <w:i/>
      <w:iCs/>
      <w:color w:val="000000" w:themeColor="text1"/>
      <w14:textFill>
        <w14:solidFill>
          <w14:schemeClr w14:val="tx1"/>
        </w14:solidFill>
      </w14:textFill>
    </w:rPr>
  </w:style>
  <w:style w:type="paragraph" w:customStyle="1" w:styleId="71">
    <w:name w:val="明显引用1"/>
    <w:basedOn w:val="1"/>
    <w:next w:val="1"/>
    <w:link w:val="7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72">
    <w:name w:val="明显引用 Char"/>
    <w:basedOn w:val="34"/>
    <w:link w:val="71"/>
    <w:qFormat/>
    <w:uiPriority w:val="30"/>
    <w:rPr>
      <w:b/>
      <w:bCs/>
      <w:i/>
      <w:iCs/>
      <w:color w:val="4F81BD" w:themeColor="accent1"/>
      <w14:textFill>
        <w14:solidFill>
          <w14:schemeClr w14:val="accent1"/>
        </w14:solidFill>
      </w14:textFill>
    </w:rPr>
  </w:style>
  <w:style w:type="character" w:customStyle="1" w:styleId="73">
    <w:name w:val="不明显强调1"/>
    <w:basedOn w:val="34"/>
    <w:qFormat/>
    <w:uiPriority w:val="19"/>
    <w:rPr>
      <w:i/>
      <w:iCs/>
      <w:color w:val="808080" w:themeColor="text1" w:themeTint="80"/>
      <w14:textFill>
        <w14:solidFill>
          <w14:schemeClr w14:val="tx1">
            <w14:lumMod w14:val="50000"/>
            <w14:lumOff w14:val="50000"/>
          </w14:schemeClr>
        </w14:solidFill>
      </w14:textFill>
    </w:rPr>
  </w:style>
  <w:style w:type="character" w:customStyle="1" w:styleId="74">
    <w:name w:val="明显强调1"/>
    <w:basedOn w:val="34"/>
    <w:qFormat/>
    <w:uiPriority w:val="21"/>
    <w:rPr>
      <w:b/>
      <w:bCs/>
      <w:i/>
      <w:iCs/>
      <w:color w:val="4F81BD" w:themeColor="accent1"/>
      <w14:textFill>
        <w14:solidFill>
          <w14:schemeClr w14:val="accent1"/>
        </w14:solidFill>
      </w14:textFill>
    </w:rPr>
  </w:style>
  <w:style w:type="character" w:customStyle="1" w:styleId="75">
    <w:name w:val="不明显参考1"/>
    <w:basedOn w:val="34"/>
    <w:qFormat/>
    <w:uiPriority w:val="31"/>
    <w:rPr>
      <w:smallCaps/>
      <w:color w:val="C0504D" w:themeColor="accent2"/>
      <w:u w:val="single"/>
      <w14:textFill>
        <w14:solidFill>
          <w14:schemeClr w14:val="accent2"/>
        </w14:solidFill>
      </w14:textFill>
    </w:rPr>
  </w:style>
  <w:style w:type="character" w:customStyle="1" w:styleId="76">
    <w:name w:val="明显参考1"/>
    <w:basedOn w:val="34"/>
    <w:qFormat/>
    <w:uiPriority w:val="32"/>
    <w:rPr>
      <w:b/>
      <w:bCs/>
      <w:smallCaps/>
      <w:color w:val="C0504D" w:themeColor="accent2"/>
      <w:spacing w:val="5"/>
      <w:u w:val="single"/>
      <w14:textFill>
        <w14:solidFill>
          <w14:schemeClr w14:val="accent2"/>
        </w14:solidFill>
      </w14:textFill>
    </w:rPr>
  </w:style>
  <w:style w:type="character" w:customStyle="1" w:styleId="77">
    <w:name w:val="书籍标题1"/>
    <w:basedOn w:val="34"/>
    <w:qFormat/>
    <w:uiPriority w:val="33"/>
    <w:rPr>
      <w:b/>
      <w:bCs/>
      <w:smallCaps/>
      <w:spacing w:val="5"/>
    </w:rPr>
  </w:style>
  <w:style w:type="paragraph" w:customStyle="1" w:styleId="78">
    <w:name w:val="TOC 标题1"/>
    <w:basedOn w:val="3"/>
    <w:next w:val="1"/>
    <w:unhideWhenUsed/>
    <w:qFormat/>
    <w:uiPriority w:val="39"/>
    <w:pPr>
      <w:outlineLvl w:val="9"/>
    </w:pPr>
  </w:style>
  <w:style w:type="character" w:customStyle="1" w:styleId="79">
    <w:name w:val="页眉 字符"/>
    <w:basedOn w:val="34"/>
    <w:link w:val="23"/>
    <w:qFormat/>
    <w:uiPriority w:val="2"/>
    <w:rPr>
      <w:rFonts w:eastAsia="仿宋_GB2312"/>
      <w:sz w:val="18"/>
      <w:szCs w:val="18"/>
    </w:rPr>
  </w:style>
  <w:style w:type="character" w:customStyle="1" w:styleId="80">
    <w:name w:val="页脚 字符"/>
    <w:basedOn w:val="34"/>
    <w:link w:val="22"/>
    <w:qFormat/>
    <w:uiPriority w:val="99"/>
    <w:rPr>
      <w:rFonts w:eastAsia="仿宋_GB2312"/>
      <w:sz w:val="18"/>
      <w:szCs w:val="18"/>
    </w:rPr>
  </w:style>
  <w:style w:type="character" w:customStyle="1" w:styleId="81">
    <w:name w:val="文档结构图 Char"/>
    <w:basedOn w:val="34"/>
    <w:qFormat/>
    <w:uiPriority w:val="0"/>
    <w:rPr>
      <w:rFonts w:ascii="宋体"/>
      <w:kern w:val="2"/>
      <w:sz w:val="18"/>
      <w:szCs w:val="18"/>
    </w:rPr>
  </w:style>
  <w:style w:type="character" w:customStyle="1" w:styleId="82">
    <w:name w:val="批注文字 Char1"/>
    <w:basedOn w:val="34"/>
    <w:qFormat/>
    <w:uiPriority w:val="99"/>
    <w:rPr>
      <w:rFonts w:ascii="Calibri" w:hAnsi="Calibri" w:eastAsia="宋体" w:cs="Times New Roman"/>
      <w:kern w:val="2"/>
      <w:sz w:val="18"/>
    </w:rPr>
  </w:style>
  <w:style w:type="character" w:customStyle="1" w:styleId="83">
    <w:name w:val="spell"/>
    <w:basedOn w:val="34"/>
    <w:qFormat/>
    <w:uiPriority w:val="0"/>
    <w:rPr>
      <w:sz w:val="21"/>
      <w:szCs w:val="21"/>
    </w:rPr>
  </w:style>
  <w:style w:type="character" w:customStyle="1" w:styleId="84">
    <w:name w:val="正文首行缩进两字符 Char Char"/>
    <w:link w:val="85"/>
    <w:qFormat/>
    <w:uiPriority w:val="0"/>
    <w:rPr>
      <w:kern w:val="2"/>
      <w:sz w:val="21"/>
      <w:szCs w:val="24"/>
    </w:rPr>
  </w:style>
  <w:style w:type="paragraph" w:customStyle="1" w:styleId="85">
    <w:name w:val="正文首行缩进两字符"/>
    <w:basedOn w:val="1"/>
    <w:link w:val="84"/>
    <w:qFormat/>
    <w:uiPriority w:val="0"/>
    <w:pPr>
      <w:spacing w:line="360" w:lineRule="auto"/>
      <w:ind w:firstLine="200" w:firstLineChars="200"/>
    </w:pPr>
    <w:rPr>
      <w:rFonts w:asciiTheme="minorHAnsi" w:hAnsiTheme="minorHAnsi" w:eastAsiaTheme="minorEastAsia" w:cstheme="minorBidi"/>
      <w:lang w:eastAsia="en-US" w:bidi="en-US"/>
    </w:rPr>
  </w:style>
  <w:style w:type="character" w:customStyle="1" w:styleId="86">
    <w:name w:val="纯文本 Char1"/>
    <w:basedOn w:val="34"/>
    <w:qFormat/>
    <w:uiPriority w:val="0"/>
    <w:rPr>
      <w:rFonts w:ascii="宋体" w:hAnsi="Tms Rmn" w:cs="Times New Roman"/>
      <w:kern w:val="2"/>
      <w:sz w:val="21"/>
    </w:rPr>
  </w:style>
  <w:style w:type="character" w:customStyle="1" w:styleId="87">
    <w:name w:val="mini-logo"/>
    <w:basedOn w:val="34"/>
    <w:qFormat/>
    <w:uiPriority w:val="0"/>
  </w:style>
  <w:style w:type="character" w:customStyle="1" w:styleId="88">
    <w:name w:val="first-child"/>
    <w:basedOn w:val="34"/>
    <w:qFormat/>
    <w:uiPriority w:val="0"/>
  </w:style>
  <w:style w:type="character" w:customStyle="1" w:styleId="89">
    <w:name w:val="hover20"/>
    <w:basedOn w:val="34"/>
    <w:qFormat/>
    <w:uiPriority w:val="0"/>
    <w:rPr>
      <w:color w:val="FF6A00"/>
      <w:shd w:val="clear" w:color="auto" w:fill="FFFFFF"/>
    </w:rPr>
  </w:style>
  <w:style w:type="character" w:customStyle="1" w:styleId="90">
    <w:name w:val="批注文字 Char"/>
    <w:basedOn w:val="34"/>
    <w:qFormat/>
    <w:uiPriority w:val="0"/>
    <w:rPr>
      <w:kern w:val="2"/>
      <w:sz w:val="21"/>
      <w:szCs w:val="24"/>
    </w:rPr>
  </w:style>
  <w:style w:type="character" w:customStyle="1" w:styleId="91">
    <w:name w:val="15"/>
    <w:basedOn w:val="34"/>
    <w:qFormat/>
    <w:uiPriority w:val="0"/>
    <w:rPr>
      <w:rFonts w:hint="eastAsia" w:ascii="仿宋_GB2312" w:eastAsia="仿宋_GB2312" w:cs="仿宋_GB2312"/>
      <w:color w:val="000000"/>
      <w:sz w:val="30"/>
      <w:szCs w:val="30"/>
    </w:rPr>
  </w:style>
  <w:style w:type="character" w:customStyle="1" w:styleId="92">
    <w:name w:val="font31"/>
    <w:qFormat/>
    <w:uiPriority w:val="0"/>
    <w:rPr>
      <w:rFonts w:hint="eastAsia" w:ascii="仿宋_GB2312" w:eastAsia="仿宋_GB2312" w:cs="仿宋_GB2312"/>
      <w:color w:val="000000"/>
      <w:sz w:val="30"/>
      <w:szCs w:val="30"/>
      <w:u w:val="none"/>
    </w:rPr>
  </w:style>
  <w:style w:type="character" w:customStyle="1" w:styleId="93">
    <w:name w:val="批注框文本 Char"/>
    <w:basedOn w:val="34"/>
    <w:qFormat/>
    <w:uiPriority w:val="0"/>
    <w:rPr>
      <w:kern w:val="2"/>
      <w:sz w:val="18"/>
      <w:szCs w:val="18"/>
    </w:rPr>
  </w:style>
  <w:style w:type="character" w:customStyle="1" w:styleId="94">
    <w:name w:val="纯文本 Char"/>
    <w:basedOn w:val="34"/>
    <w:qFormat/>
    <w:uiPriority w:val="0"/>
    <w:rPr>
      <w:rFonts w:ascii="宋体" w:hAnsi="Courier New" w:cs="Courier New"/>
      <w:kern w:val="2"/>
      <w:sz w:val="21"/>
      <w:szCs w:val="21"/>
    </w:rPr>
  </w:style>
  <w:style w:type="character" w:customStyle="1" w:styleId="95">
    <w:name w:val="spell1"/>
    <w:basedOn w:val="34"/>
    <w:qFormat/>
    <w:uiPriority w:val="0"/>
    <w:rPr>
      <w:sz w:val="21"/>
      <w:szCs w:val="21"/>
    </w:rPr>
  </w:style>
  <w:style w:type="character" w:customStyle="1" w:styleId="96">
    <w:name w:val="layui-layer-tabnow"/>
    <w:basedOn w:val="34"/>
    <w:qFormat/>
    <w:uiPriority w:val="0"/>
    <w:rPr>
      <w:bdr w:val="single" w:color="CCCCCC" w:sz="6" w:space="0"/>
      <w:shd w:val="clear" w:color="auto" w:fill="FFFFFF"/>
    </w:rPr>
  </w:style>
  <w:style w:type="character" w:customStyle="1" w:styleId="97">
    <w:name w:val="正文文本缩进 字符"/>
    <w:basedOn w:val="34"/>
    <w:link w:val="16"/>
    <w:qFormat/>
    <w:uiPriority w:val="0"/>
    <w:rPr>
      <w:rFonts w:ascii="Calibri" w:hAnsi="Calibri" w:eastAsia="宋体" w:cs="Times New Roman"/>
      <w:kern w:val="2"/>
      <w:sz w:val="32"/>
      <w:szCs w:val="20"/>
      <w:lang w:eastAsia="zh-CN" w:bidi="ar-SA"/>
    </w:rPr>
  </w:style>
  <w:style w:type="paragraph" w:customStyle="1" w:styleId="98">
    <w:name w:val="WPSOffice手动目录 1"/>
    <w:qFormat/>
    <w:uiPriority w:val="0"/>
    <w:rPr>
      <w:rFonts w:ascii="Calibri" w:hAnsi="Calibri" w:eastAsia="宋体" w:cs="Times New Roman"/>
      <w:sz w:val="21"/>
      <w:szCs w:val="22"/>
      <w:lang w:val="en-US" w:eastAsia="zh-CN" w:bidi="ar-SA"/>
    </w:rPr>
  </w:style>
  <w:style w:type="character" w:customStyle="1" w:styleId="99">
    <w:name w:val="批注文字 字符"/>
    <w:basedOn w:val="34"/>
    <w:link w:val="15"/>
    <w:semiHidden/>
    <w:qFormat/>
    <w:uiPriority w:val="99"/>
    <w:rPr>
      <w:rFonts w:ascii="Calibri" w:hAnsi="Calibri" w:eastAsia="宋体" w:cs="Times New Roman"/>
      <w:kern w:val="2"/>
      <w:sz w:val="21"/>
      <w:szCs w:val="24"/>
      <w:lang w:eastAsia="zh-CN" w:bidi="ar-SA"/>
    </w:rPr>
  </w:style>
  <w:style w:type="paragraph" w:customStyle="1" w:styleId="100">
    <w:name w:val="z-窗体顶端1"/>
    <w:basedOn w:val="1"/>
    <w:next w:val="1"/>
    <w:link w:val="101"/>
    <w:qFormat/>
    <w:uiPriority w:val="0"/>
    <w:pPr>
      <w:pBdr>
        <w:bottom w:val="single" w:color="auto" w:sz="6" w:space="1"/>
      </w:pBdr>
      <w:jc w:val="center"/>
    </w:pPr>
    <w:rPr>
      <w:rFonts w:ascii="Arial"/>
      <w:vanish/>
      <w:sz w:val="16"/>
    </w:rPr>
  </w:style>
  <w:style w:type="character" w:customStyle="1" w:styleId="101">
    <w:name w:val="z-窗体顶端 Char"/>
    <w:basedOn w:val="34"/>
    <w:link w:val="100"/>
    <w:qFormat/>
    <w:uiPriority w:val="0"/>
    <w:rPr>
      <w:rFonts w:ascii="Arial" w:hAnsi="Calibri" w:eastAsia="宋体" w:cs="Times New Roman"/>
      <w:vanish/>
      <w:kern w:val="2"/>
      <w:sz w:val="16"/>
      <w:szCs w:val="24"/>
      <w:lang w:eastAsia="zh-CN" w:bidi="ar-SA"/>
    </w:rPr>
  </w:style>
  <w:style w:type="paragraph" w:customStyle="1" w:styleId="102">
    <w:name w:val="样式 首行缩进:  2 字符"/>
    <w:basedOn w:val="1"/>
    <w:qFormat/>
    <w:uiPriority w:val="0"/>
    <w:pPr>
      <w:spacing w:line="400" w:lineRule="exact"/>
      <w:ind w:firstLine="200" w:firstLineChars="200"/>
    </w:pPr>
    <w:rPr>
      <w:rFonts w:cs="宋体"/>
      <w:sz w:val="24"/>
    </w:rPr>
  </w:style>
  <w:style w:type="character" w:customStyle="1" w:styleId="103">
    <w:name w:val="文档结构图 字符"/>
    <w:basedOn w:val="34"/>
    <w:link w:val="14"/>
    <w:semiHidden/>
    <w:qFormat/>
    <w:uiPriority w:val="99"/>
    <w:rPr>
      <w:rFonts w:ascii="宋体" w:hAnsi="Calibri" w:eastAsia="宋体" w:cs="Times New Roman"/>
      <w:kern w:val="2"/>
      <w:sz w:val="18"/>
      <w:szCs w:val="18"/>
      <w:lang w:eastAsia="zh-CN" w:bidi="ar-SA"/>
    </w:rPr>
  </w:style>
  <w:style w:type="paragraph" w:customStyle="1" w:styleId="104">
    <w:name w:val="GW-正文"/>
    <w:basedOn w:val="1"/>
    <w:qFormat/>
    <w:uiPriority w:val="0"/>
    <w:pPr>
      <w:spacing w:line="360" w:lineRule="auto"/>
      <w:ind w:firstLine="200" w:firstLineChars="200"/>
    </w:pPr>
    <w:rPr>
      <w:rFonts w:eastAsia="仿宋_GB2312"/>
      <w:sz w:val="24"/>
    </w:rPr>
  </w:style>
  <w:style w:type="paragraph" w:customStyle="1" w:styleId="105">
    <w:name w:val="1公招正文"/>
    <w:basedOn w:val="1"/>
    <w:qFormat/>
    <w:uiPriority w:val="0"/>
    <w:pPr>
      <w:spacing w:line="360" w:lineRule="auto"/>
      <w:ind w:firstLine="1044" w:firstLineChars="200"/>
      <w:jc w:val="left"/>
    </w:pPr>
    <w:rPr>
      <w:rFonts w:ascii="宋体" w:hAnsi="宋体"/>
      <w:sz w:val="24"/>
    </w:rPr>
  </w:style>
  <w:style w:type="paragraph" w:customStyle="1" w:styleId="106">
    <w:name w:val="z-窗体底端1"/>
    <w:basedOn w:val="1"/>
    <w:next w:val="1"/>
    <w:link w:val="107"/>
    <w:qFormat/>
    <w:uiPriority w:val="0"/>
    <w:pPr>
      <w:pBdr>
        <w:top w:val="single" w:color="auto" w:sz="6" w:space="1"/>
      </w:pBdr>
      <w:jc w:val="center"/>
    </w:pPr>
    <w:rPr>
      <w:rFonts w:ascii="Arial"/>
      <w:vanish/>
      <w:sz w:val="16"/>
    </w:rPr>
  </w:style>
  <w:style w:type="character" w:customStyle="1" w:styleId="107">
    <w:name w:val="z-窗体底端 Char"/>
    <w:basedOn w:val="34"/>
    <w:link w:val="106"/>
    <w:qFormat/>
    <w:uiPriority w:val="0"/>
    <w:rPr>
      <w:rFonts w:ascii="Arial" w:hAnsi="Calibri" w:eastAsia="宋体" w:cs="Times New Roman"/>
      <w:vanish/>
      <w:kern w:val="2"/>
      <w:sz w:val="16"/>
      <w:szCs w:val="24"/>
      <w:lang w:eastAsia="zh-CN" w:bidi="ar-SA"/>
    </w:rPr>
  </w:style>
  <w:style w:type="character" w:customStyle="1" w:styleId="108">
    <w:name w:val="正文文本缩进 2 字符"/>
    <w:basedOn w:val="34"/>
    <w:link w:val="20"/>
    <w:qFormat/>
    <w:uiPriority w:val="0"/>
    <w:rPr>
      <w:rFonts w:ascii="Calibri" w:hAnsi="Calibri" w:eastAsia="宋体" w:cs="Times New Roman"/>
      <w:kern w:val="2"/>
      <w:sz w:val="21"/>
      <w:szCs w:val="24"/>
      <w:lang w:eastAsia="zh-CN" w:bidi="ar-SA"/>
    </w:rPr>
  </w:style>
  <w:style w:type="character" w:customStyle="1" w:styleId="109">
    <w:name w:val="纯文本 字符"/>
    <w:basedOn w:val="34"/>
    <w:link w:val="19"/>
    <w:semiHidden/>
    <w:qFormat/>
    <w:uiPriority w:val="99"/>
    <w:rPr>
      <w:rFonts w:ascii="宋体" w:hAnsi="Courier New" w:eastAsia="宋体" w:cs="Courier New"/>
      <w:kern w:val="2"/>
      <w:sz w:val="21"/>
      <w:szCs w:val="21"/>
      <w:lang w:eastAsia="zh-CN" w:bidi="ar-SA"/>
    </w:rPr>
  </w:style>
  <w:style w:type="paragraph" w:customStyle="1" w:styleId="110">
    <w:name w:val="_正文段落"/>
    <w:basedOn w:val="1"/>
    <w:qFormat/>
    <w:uiPriority w:val="0"/>
    <w:pPr>
      <w:widowControl/>
      <w:spacing w:beforeLines="15" w:line="360" w:lineRule="auto"/>
      <w:ind w:firstLine="200" w:firstLineChars="200"/>
      <w:jc w:val="left"/>
    </w:pPr>
    <w:rPr>
      <w:rFonts w:hint="eastAsia" w:ascii="宋体" w:eastAsia="仿宋_GB2312"/>
      <w:kern w:val="0"/>
      <w:sz w:val="28"/>
    </w:rPr>
  </w:style>
  <w:style w:type="character" w:customStyle="1" w:styleId="111">
    <w:name w:val="批注框文本 字符"/>
    <w:basedOn w:val="34"/>
    <w:link w:val="21"/>
    <w:semiHidden/>
    <w:qFormat/>
    <w:uiPriority w:val="99"/>
    <w:rPr>
      <w:rFonts w:ascii="Calibri" w:hAnsi="Calibri" w:eastAsia="宋体" w:cs="Times New Roman"/>
      <w:kern w:val="2"/>
      <w:sz w:val="18"/>
      <w:szCs w:val="18"/>
      <w:lang w:eastAsia="zh-CN" w:bidi="ar-SA"/>
    </w:rPr>
  </w:style>
  <w:style w:type="paragraph" w:customStyle="1" w:styleId="112">
    <w:name w:val="Body text|5"/>
    <w:basedOn w:val="1"/>
    <w:qFormat/>
    <w:uiPriority w:val="0"/>
    <w:pPr>
      <w:shd w:val="clear" w:color="auto" w:fill="FFFFFF"/>
      <w:spacing w:before="220" w:line="439" w:lineRule="exact"/>
      <w:ind w:firstLine="620"/>
      <w:jc w:val="distribute"/>
    </w:pPr>
    <w:rPr>
      <w:rFonts w:ascii="PMingLiU" w:hAnsi="PMingLiU" w:eastAsia="PMingLiU" w:cs="PMingLiU"/>
      <w:spacing w:val="10"/>
      <w:sz w:val="20"/>
      <w:szCs w:val="20"/>
    </w:rPr>
  </w:style>
  <w:style w:type="paragraph" w:customStyle="1" w:styleId="113">
    <w:name w:val="列出段落11"/>
    <w:basedOn w:val="1"/>
    <w:qFormat/>
    <w:uiPriority w:val="0"/>
    <w:pPr>
      <w:ind w:firstLine="420" w:firstLineChars="200"/>
    </w:pPr>
    <w:rPr>
      <w:szCs w:val="21"/>
    </w:rPr>
  </w:style>
  <w:style w:type="paragraph" w:customStyle="1" w:styleId="114">
    <w:name w:val="标题 21"/>
    <w:basedOn w:val="1"/>
    <w:qFormat/>
    <w:uiPriority w:val="1"/>
    <w:pPr>
      <w:spacing w:line="269" w:lineRule="exact"/>
      <w:ind w:left="628" w:hanging="477"/>
      <w:outlineLvl w:val="2"/>
    </w:pPr>
    <w:rPr>
      <w:b/>
      <w:bCs/>
      <w:szCs w:val="21"/>
    </w:rPr>
  </w:style>
  <w:style w:type="character" w:customStyle="1" w:styleId="115">
    <w:name w:val="正文文本 字符"/>
    <w:basedOn w:val="34"/>
    <w:link w:val="2"/>
    <w:qFormat/>
    <w:uiPriority w:val="0"/>
    <w:rPr>
      <w:rFonts w:ascii="Calibri" w:hAnsi="Calibri" w:eastAsia="宋体" w:cs="Times New Roman"/>
      <w:color w:val="FF0000"/>
      <w:kern w:val="2"/>
      <w:sz w:val="21"/>
      <w:szCs w:val="24"/>
      <w:lang w:eastAsia="zh-CN" w:bidi="ar-SA"/>
    </w:rPr>
  </w:style>
  <w:style w:type="paragraph" w:customStyle="1" w:styleId="116">
    <w:name w:val="引用11"/>
    <w:basedOn w:val="1"/>
    <w:next w:val="1"/>
    <w:qFormat/>
    <w:uiPriority w:val="0"/>
    <w:pPr>
      <w:wordWrap w:val="0"/>
      <w:spacing w:before="200" w:after="160"/>
      <w:ind w:left="864" w:right="864"/>
      <w:jc w:val="center"/>
    </w:pPr>
    <w:rPr>
      <w:i/>
    </w:rPr>
  </w:style>
  <w:style w:type="paragraph" w:customStyle="1" w:styleId="117">
    <w:name w:val="列出段落2"/>
    <w:basedOn w:val="1"/>
    <w:qFormat/>
    <w:uiPriority w:val="0"/>
    <w:pPr>
      <w:ind w:firstLine="420" w:firstLineChars="200"/>
    </w:pPr>
    <w:rPr>
      <w:rFonts w:ascii="Times New Roman" w:hAnsi="Times New Roman"/>
      <w:szCs w:val="21"/>
    </w:rPr>
  </w:style>
  <w:style w:type="paragraph" w:customStyle="1" w:styleId="118">
    <w:name w:val="正文1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19">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20">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Plain Text1"/>
    <w:basedOn w:val="1"/>
    <w:qFormat/>
    <w:uiPriority w:val="0"/>
    <w:pPr>
      <w:adjustRightInd w:val="0"/>
      <w:jc w:val="left"/>
      <w:textAlignment w:val="baseline"/>
    </w:pPr>
    <w:rPr>
      <w:rFonts w:ascii="宋体" w:hAnsi="Courier New"/>
      <w:sz w:val="24"/>
      <w:szCs w:val="20"/>
    </w:rPr>
  </w:style>
  <w:style w:type="paragraph" w:customStyle="1" w:styleId="123">
    <w:name w:val="标题 11"/>
    <w:basedOn w:val="1"/>
    <w:qFormat/>
    <w:uiPriority w:val="1"/>
    <w:pPr>
      <w:outlineLvl w:val="1"/>
    </w:pPr>
    <w:rPr>
      <w:rFonts w:ascii="宋体" w:hAnsi="宋体"/>
      <w:sz w:val="44"/>
      <w:szCs w:val="44"/>
    </w:rPr>
  </w:style>
  <w:style w:type="paragraph" w:customStyle="1" w:styleId="124">
    <w:name w:val="标题 211"/>
    <w:basedOn w:val="1"/>
    <w:qFormat/>
    <w:uiPriority w:val="1"/>
    <w:pPr>
      <w:outlineLvl w:val="2"/>
    </w:pPr>
    <w:rPr>
      <w:rFonts w:ascii="宋体" w:hAnsi="宋体"/>
      <w:sz w:val="30"/>
      <w:szCs w:val="30"/>
    </w:rPr>
  </w:style>
  <w:style w:type="paragraph" w:customStyle="1" w:styleId="125">
    <w:name w:val="Table Paragraph"/>
    <w:basedOn w:val="1"/>
    <w:qFormat/>
    <w:uiPriority w:val="1"/>
  </w:style>
  <w:style w:type="paragraph" w:customStyle="1" w:styleId="126">
    <w:name w:val="封面合同编号"/>
    <w:basedOn w:val="1"/>
    <w:qFormat/>
    <w:uiPriority w:val="0"/>
    <w:pPr>
      <w:ind w:right="1701"/>
      <w:jc w:val="right"/>
    </w:pPr>
  </w:style>
  <w:style w:type="paragraph" w:customStyle="1" w:styleId="127">
    <w:name w:val="封面标题"/>
    <w:basedOn w:val="1"/>
    <w:qFormat/>
    <w:uiPriority w:val="0"/>
    <w:pPr>
      <w:jc w:val="center"/>
    </w:pPr>
    <w:rPr>
      <w:rFonts w:ascii="黑体" w:hAnsi="Times New Roman" w:eastAsia="黑体"/>
      <w:kern w:val="0"/>
      <w:sz w:val="52"/>
      <w:szCs w:val="52"/>
    </w:rPr>
  </w:style>
  <w:style w:type="paragraph" w:customStyle="1" w:styleId="128">
    <w:name w:val="封面副标题"/>
    <w:basedOn w:val="1"/>
    <w:qFormat/>
    <w:uiPriority w:val="0"/>
    <w:pPr>
      <w:ind w:firstLine="199" w:firstLineChars="71"/>
      <w:jc w:val="center"/>
    </w:pPr>
    <w:rPr>
      <w:rFonts w:ascii="黑体" w:hAnsi="Times New Roman" w:eastAsia="黑体"/>
      <w:kern w:val="0"/>
      <w:sz w:val="28"/>
      <w:szCs w:val="28"/>
    </w:rPr>
  </w:style>
  <w:style w:type="paragraph" w:customStyle="1" w:styleId="129">
    <w:name w:val="标题2"/>
    <w:basedOn w:val="6"/>
    <w:next w:val="1"/>
    <w:link w:val="130"/>
    <w:qFormat/>
    <w:uiPriority w:val="0"/>
    <w:pPr>
      <w:spacing w:beforeLines="50" w:afterLines="50" w:line="360" w:lineRule="auto"/>
      <w:ind w:firstLine="397"/>
      <w:jc w:val="left"/>
    </w:pPr>
    <w:rPr>
      <w:rFonts w:ascii="黑体" w:hAnsi="宋体" w:eastAsia="宋体" w:cs="黑体"/>
      <w:kern w:val="0"/>
    </w:rPr>
  </w:style>
  <w:style w:type="character" w:customStyle="1" w:styleId="130">
    <w:name w:val="标题2 Char"/>
    <w:basedOn w:val="34"/>
    <w:link w:val="129"/>
    <w:qFormat/>
    <w:uiPriority w:val="0"/>
    <w:rPr>
      <w:rFonts w:ascii="黑体" w:hAnsi="宋体" w:eastAsia="宋体" w:cs="黑体"/>
      <w:kern w:val="0"/>
    </w:rPr>
  </w:style>
  <w:style w:type="paragraph" w:customStyle="1" w:styleId="131">
    <w:name w:val="p0"/>
    <w:basedOn w:val="1"/>
    <w:qFormat/>
    <w:uiPriority w:val="0"/>
    <w:pPr>
      <w:widowControl/>
    </w:pPr>
    <w:rPr>
      <w:szCs w:val="21"/>
    </w:rPr>
  </w:style>
  <w:style w:type="paragraph" w:customStyle="1" w:styleId="132">
    <w:name w:val="纯文本1"/>
    <w:basedOn w:val="1"/>
    <w:qFormat/>
    <w:uiPriority w:val="0"/>
    <w:pPr>
      <w:adjustRightInd w:val="0"/>
      <w:textAlignment w:val="baseline"/>
    </w:pPr>
    <w:rPr>
      <w:rFonts w:ascii="宋体" w:hAnsi="Courier New"/>
      <w:szCs w:val="20"/>
    </w:rPr>
  </w:style>
  <w:style w:type="paragraph" w:customStyle="1" w:styleId="133">
    <w:name w:val="BodyText"/>
    <w:basedOn w:val="1"/>
    <w:next w:val="134"/>
    <w:qFormat/>
    <w:uiPriority w:val="0"/>
    <w:pPr>
      <w:widowControl/>
      <w:spacing w:after="120"/>
      <w:textAlignment w:val="baseline"/>
    </w:pPr>
    <w:rPr>
      <w:szCs w:val="20"/>
    </w:rPr>
  </w:style>
  <w:style w:type="paragraph" w:customStyle="1" w:styleId="134">
    <w:name w:val="PlainText"/>
    <w:unhideWhenUsed/>
    <w:qFormat/>
    <w:uiPriority w:val="0"/>
    <w:pPr>
      <w:widowControl w:val="0"/>
      <w:jc w:val="both"/>
    </w:pPr>
    <w:rPr>
      <w:rFonts w:hint="eastAsia" w:ascii="宋体" w:hAnsi="Courier New" w:eastAsia="宋体" w:cs="Times New Roman"/>
      <w:sz w:val="21"/>
      <w:szCs w:val="24"/>
      <w:lang w:val="en-US" w:eastAsia="zh-CN" w:bidi="ar-SA"/>
    </w:rPr>
  </w:style>
  <w:style w:type="paragraph" w:customStyle="1" w:styleId="135">
    <w:name w:val="正文_2"/>
    <w:next w:val="136"/>
    <w:qFormat/>
    <w:uiPriority w:val="0"/>
    <w:pPr>
      <w:widowControl w:val="0"/>
      <w:jc w:val="both"/>
    </w:pPr>
    <w:rPr>
      <w:rFonts w:ascii="宋体" w:hAnsi="Calibri" w:eastAsia="宋体" w:cs="Times New Roman"/>
      <w:sz w:val="34"/>
      <w:lang w:val="en-US" w:eastAsia="zh-CN" w:bidi="ar-SA"/>
    </w:rPr>
  </w:style>
  <w:style w:type="paragraph" w:customStyle="1" w:styleId="136">
    <w:name w:val="正文文本_1"/>
    <w:basedOn w:val="135"/>
    <w:next w:val="135"/>
    <w:unhideWhenUsed/>
    <w:qFormat/>
    <w:uiPriority w:val="1"/>
    <w:rPr>
      <w:rFonts w:hAnsi="宋体" w:cs="宋体"/>
      <w:sz w:val="27"/>
      <w:szCs w:val="27"/>
      <w:lang w:val="zh-CN" w:bidi="zh-CN"/>
    </w:rPr>
  </w:style>
  <w:style w:type="paragraph" w:customStyle="1" w:styleId="137">
    <w:name w:val="标题 2_2"/>
    <w:basedOn w:val="135"/>
    <w:next w:val="135"/>
    <w:qFormat/>
    <w:uiPriority w:val="0"/>
    <w:pPr>
      <w:keepNext/>
      <w:keepLines/>
      <w:spacing w:before="260" w:after="260" w:line="416" w:lineRule="auto"/>
      <w:outlineLvl w:val="1"/>
    </w:pPr>
    <w:rPr>
      <w:rFonts w:ascii="Arial" w:hAnsi="Arial" w:eastAsia="黑体"/>
      <w:b/>
      <w:bCs/>
      <w:sz w:val="32"/>
      <w:szCs w:val="32"/>
    </w:rPr>
  </w:style>
  <w:style w:type="character" w:customStyle="1" w:styleId="138">
    <w:name w:val="mini-outputtext1"/>
    <w:basedOn w:val="34"/>
    <w:qFormat/>
    <w:uiPriority w:val="0"/>
  </w:style>
  <w:style w:type="character" w:customStyle="1" w:styleId="139">
    <w:name w:val="标题 1 Char1"/>
    <w:qFormat/>
    <w:uiPriority w:val="0"/>
    <w:rPr>
      <w:b/>
      <w:bCs/>
      <w:kern w:val="44"/>
      <w:sz w:val="44"/>
      <w:szCs w:val="44"/>
    </w:rPr>
  </w:style>
  <w:style w:type="character" w:customStyle="1" w:styleId="140">
    <w:name w:val="标题 2 字符"/>
    <w:link w:val="4"/>
    <w:qFormat/>
    <w:uiPriority w:val="0"/>
    <w:rPr>
      <w:rFonts w:ascii="Cambria" w:hAnsi="Cambria" w:eastAsia="宋体" w:cs="Times New Roman"/>
      <w:b/>
      <w:bCs/>
      <w:kern w:val="2"/>
      <w:sz w:val="32"/>
      <w:szCs w:val="32"/>
    </w:rPr>
  </w:style>
  <w:style w:type="paragraph" w:customStyle="1" w:styleId="141">
    <w:name w:val="Blockquote"/>
    <w:basedOn w:val="1"/>
    <w:qFormat/>
    <w:uiPriority w:val="99"/>
    <w:pPr>
      <w:autoSpaceDE w:val="0"/>
      <w:autoSpaceDN w:val="0"/>
      <w:adjustRightInd w:val="0"/>
      <w:ind w:left="360" w:right="360"/>
      <w:jc w:val="left"/>
    </w:pPr>
    <w:rPr>
      <w:kern w:val="0"/>
      <w:sz w:val="24"/>
    </w:rPr>
  </w:style>
  <w:style w:type="character" w:customStyle="1" w:styleId="142">
    <w:name w:val="正文文本_"/>
    <w:link w:val="143"/>
    <w:unhideWhenUsed/>
    <w:qFormat/>
    <w:uiPriority w:val="99"/>
    <w:rPr>
      <w:rFonts w:hint="eastAsia" w:ascii="MingLiU" w:hAnsi="MingLiU" w:eastAsia="MingLiU"/>
      <w:sz w:val="30"/>
    </w:rPr>
  </w:style>
  <w:style w:type="paragraph" w:customStyle="1" w:styleId="143">
    <w:name w:val="正文文本1"/>
    <w:basedOn w:val="1"/>
    <w:link w:val="142"/>
    <w:unhideWhenUsed/>
    <w:qFormat/>
    <w:uiPriority w:val="99"/>
    <w:pPr>
      <w:shd w:val="clear" w:color="auto" w:fill="FFFFFF"/>
      <w:spacing w:line="590" w:lineRule="exact"/>
    </w:pPr>
    <w:rPr>
      <w:rFonts w:hint="eastAsia" w:ascii="MingLiU" w:hAnsi="MingLiU" w:eastAsia="MingLiU"/>
      <w:sz w:val="30"/>
    </w:rPr>
  </w:style>
  <w:style w:type="character" w:customStyle="1" w:styleId="144">
    <w:name w:val="font21"/>
    <w:basedOn w:val="34"/>
    <w:qFormat/>
    <w:uiPriority w:val="0"/>
    <w:rPr>
      <w:rFonts w:hint="eastAsia" w:ascii="宋体" w:hAnsi="宋体" w:eastAsia="宋体" w:cs="宋体"/>
      <w:color w:val="000000"/>
      <w:sz w:val="21"/>
      <w:szCs w:val="21"/>
      <w:u w:val="none"/>
    </w:rPr>
  </w:style>
  <w:style w:type="paragraph" w:customStyle="1" w:styleId="145">
    <w:name w:val="CD正文"/>
    <w:basedOn w:val="1"/>
    <w:qFormat/>
    <w:uiPriority w:val="99"/>
    <w:pPr>
      <w:spacing w:line="360" w:lineRule="auto"/>
      <w:ind w:firstLine="493"/>
    </w:pPr>
    <w:rPr>
      <w:sz w:val="30"/>
      <w:szCs w:val="30"/>
    </w:rPr>
  </w:style>
  <w:style w:type="paragraph" w:customStyle="1" w:styleId="14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7">
    <w:name w:val="标题 2_1"/>
    <w:basedOn w:val="50"/>
    <w:next w:val="50"/>
    <w:unhideWhenUsed/>
    <w:qFormat/>
    <w:uiPriority w:val="9"/>
    <w:pPr>
      <w:keepNext/>
      <w:keepLines/>
      <w:spacing w:before="260" w:after="260" w:line="416" w:lineRule="auto"/>
      <w:outlineLvl w:val="1"/>
    </w:pPr>
    <w:rPr>
      <w:rFonts w:ascii="Cambria" w:hAnsi="Cambria"/>
      <w:b/>
      <w:bCs/>
      <w:sz w:val="32"/>
      <w:szCs w:val="32"/>
    </w:rPr>
  </w:style>
  <w:style w:type="character" w:customStyle="1" w:styleId="148">
    <w:name w:val="超链接_0"/>
    <w:qFormat/>
    <w:uiPriority w:val="99"/>
    <w:rPr>
      <w:color w:val="0000FF"/>
      <w:spacing w:val="0"/>
      <w:w w:val="100"/>
      <w:szCs w:val="21"/>
      <w:u w:val="single"/>
      <w:lang w:val="en-US" w:eastAsia="zh-CN"/>
    </w:rPr>
  </w:style>
  <w:style w:type="paragraph" w:customStyle="1" w:styleId="149">
    <w:name w:val="标题 3_0"/>
    <w:basedOn w:val="50"/>
    <w:next w:val="12"/>
    <w:qFormat/>
    <w:uiPriority w:val="9"/>
    <w:pPr>
      <w:keepNext/>
      <w:keepLines/>
      <w:spacing w:before="260" w:after="260" w:line="416" w:lineRule="auto"/>
      <w:outlineLvl w:val="2"/>
    </w:pPr>
    <w:rPr>
      <w:rFonts w:ascii="Times New Roman" w:hAnsi="Times New Roman"/>
      <w:b/>
      <w:bCs/>
      <w:sz w:val="32"/>
      <w:szCs w:val="32"/>
    </w:rPr>
  </w:style>
  <w:style w:type="character" w:customStyle="1" w:styleId="150">
    <w:name w:val="标题 1 字符"/>
    <w:link w:val="3"/>
    <w:qFormat/>
    <w:uiPriority w:val="9"/>
    <w:rPr>
      <w:b/>
      <w:kern w:val="44"/>
      <w:sz w:val="44"/>
    </w:rPr>
  </w:style>
  <w:style w:type="paragraph" w:customStyle="1" w:styleId="15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88C26-697D-4558-9D32-48C64EE7468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34798</Words>
  <Characters>36657</Characters>
  <Lines>509</Lines>
  <Paragraphs>143</Paragraphs>
  <TotalTime>23</TotalTime>
  <ScaleCrop>false</ScaleCrop>
  <LinksUpToDate>false</LinksUpToDate>
  <CharactersWithSpaces>47488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2023-04-25T07:03:00Z</dcterms:created>
  <dc:creator>微 软 用 户</dc:creator>
  <cp:lastModifiedBy>凡大</cp:lastModifiedBy>
  <cp:lastPrinted>2023-11-02T09:11:00Z</cp:lastPrinted>
  <dcterms:modified xsi:type="dcterms:W3CDTF">2023-11-10T09:02:23Z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56C60EBC0B6B4DA5A81CEAEC51D409EE_13</vt:lpwstr>
  </property>
</Properties>
</file>